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3BAB9">
      <w:pPr>
        <w:pageBreakBefore w:val="0"/>
        <w:kinsoku/>
        <w:wordWrap/>
        <w:overflowPunct/>
        <w:topLinePunct w:val="0"/>
        <w:bidi w:val="0"/>
        <w:adjustRightInd w:val="0"/>
        <w:snapToGrid w:val="0"/>
        <w:spacing w:line="600" w:lineRule="exact"/>
        <w:jc w:val="center"/>
        <w:rPr>
          <w:rFonts w:hint="eastAsia" w:eastAsia="方正小标宋简体" w:cs="方正小标宋简体" w:asciiTheme="minorHAnsi" w:hAnsiTheme="minorHAnsi"/>
          <w:bCs/>
          <w:sz w:val="44"/>
          <w:szCs w:val="44"/>
        </w:rPr>
      </w:pPr>
    </w:p>
    <w:p w14:paraId="781C4DE2">
      <w:pPr>
        <w:pageBreakBefore w:val="0"/>
        <w:kinsoku/>
        <w:wordWrap/>
        <w:overflowPunct/>
        <w:topLinePunct w:val="0"/>
        <w:bidi w:val="0"/>
        <w:snapToGrid w:val="0"/>
        <w:spacing w:line="600" w:lineRule="exact"/>
        <w:jc w:val="center"/>
        <w:rPr>
          <w:rFonts w:hint="eastAsia" w:eastAsia="方正小标宋简体" w:cs="方正小标宋简体" w:asciiTheme="minorHAnsi" w:hAnsiTheme="minorHAnsi"/>
          <w:bCs/>
          <w:sz w:val="44"/>
          <w:szCs w:val="44"/>
        </w:rPr>
      </w:pPr>
      <w:r>
        <w:rPr>
          <w:rFonts w:hint="eastAsia" w:ascii="方正小标宋简体" w:hAnsi="方正小标宋简体" w:eastAsia="方正小标宋简体" w:cs="方正小标宋简体"/>
          <w:bCs/>
          <w:sz w:val="44"/>
          <w:szCs w:val="44"/>
          <w:lang w:val="en-US" w:eastAsia="zh-CN"/>
        </w:rPr>
        <w:t>四川省犍为师范学校附属小学</w:t>
      </w:r>
      <w:r>
        <w:rPr>
          <w:rFonts w:hint="eastAsia" w:ascii="方正小标宋简体" w:hAnsi="方正小标宋简体" w:eastAsia="方正小标宋简体" w:cs="方正小标宋简体"/>
          <w:bCs/>
          <w:sz w:val="44"/>
          <w:szCs w:val="44"/>
        </w:rPr>
        <w:t>“六·一”文艺汇演舞台搭建布置等</w:t>
      </w:r>
      <w:r>
        <w:rPr>
          <w:rFonts w:hint="eastAsia" w:ascii="方正小标宋简体" w:hAnsi="方正小标宋简体" w:eastAsia="方正小标宋简体" w:cs="方正小标宋简体"/>
          <w:bCs/>
          <w:sz w:val="44"/>
          <w:szCs w:val="44"/>
          <w:lang w:eastAsia="zh-CN"/>
        </w:rPr>
        <w:t>服</w:t>
      </w:r>
      <w:r>
        <w:rPr>
          <w:rFonts w:ascii="方正小标宋简体" w:hAnsi="方正小标宋简体" w:eastAsia="方正小标宋简体" w:cs="方正小标宋简体"/>
          <w:bCs/>
          <w:sz w:val="44"/>
          <w:szCs w:val="44"/>
        </w:rPr>
        <w:t>务项目</w:t>
      </w:r>
    </w:p>
    <w:p w14:paraId="6DD5535F">
      <w:pPr>
        <w:pageBreakBefore w:val="0"/>
        <w:kinsoku/>
        <w:wordWrap/>
        <w:overflowPunct/>
        <w:topLinePunct w:val="0"/>
        <w:bidi w:val="0"/>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2BEC4405">
      <w:pPr>
        <w:pStyle w:val="14"/>
        <w:pageBreakBefore w:val="0"/>
        <w:kinsoku/>
        <w:wordWrap/>
        <w:overflowPunct/>
        <w:topLinePunct w:val="0"/>
        <w:bidi w:val="0"/>
        <w:snapToGrid w:val="0"/>
        <w:spacing w:after="0" w:line="600" w:lineRule="exact"/>
        <w:ind w:left="1050" w:firstLine="512"/>
        <w:rPr>
          <w:rFonts w:ascii="宋体"/>
          <w:b/>
          <w:sz w:val="52"/>
          <w:szCs w:val="52"/>
        </w:rPr>
      </w:pPr>
      <w:bookmarkStart w:id="76" w:name="_GoBack"/>
      <w:bookmarkEnd w:id="76"/>
    </w:p>
    <w:p w14:paraId="21FA4BDC">
      <w:pPr>
        <w:pStyle w:val="14"/>
        <w:pageBreakBefore w:val="0"/>
        <w:kinsoku/>
        <w:wordWrap/>
        <w:overflowPunct/>
        <w:topLinePunct w:val="0"/>
        <w:bidi w:val="0"/>
        <w:snapToGrid w:val="0"/>
        <w:spacing w:after="0" w:line="600" w:lineRule="exact"/>
        <w:ind w:left="1050" w:firstLine="512"/>
        <w:rPr>
          <w:rFonts w:ascii="宋体"/>
          <w:b/>
          <w:sz w:val="52"/>
          <w:szCs w:val="52"/>
        </w:rPr>
      </w:pPr>
    </w:p>
    <w:p w14:paraId="1A3CFACF">
      <w:pPr>
        <w:pageBreakBefore w:val="0"/>
        <w:kinsoku/>
        <w:wordWrap/>
        <w:overflowPunct/>
        <w:topLinePunct w:val="0"/>
        <w:bidi w:val="0"/>
        <w:adjustRightInd w:val="0"/>
        <w:snapToGrid w:val="0"/>
        <w:spacing w:line="600" w:lineRule="exact"/>
        <w:jc w:val="center"/>
        <w:rPr>
          <w:b/>
          <w:sz w:val="56"/>
          <w:szCs w:val="56"/>
        </w:rPr>
      </w:pPr>
      <w:r>
        <w:rPr>
          <w:rFonts w:hint="eastAsia" w:ascii="方正小标宋简体" w:hAnsi="方正小标宋简体" w:eastAsia="方正小标宋简体" w:cs="方正小标宋简体"/>
          <w:bCs/>
          <w:sz w:val="56"/>
          <w:szCs w:val="56"/>
        </w:rPr>
        <w:t>竞争性谈判文件</w:t>
      </w:r>
    </w:p>
    <w:p w14:paraId="306EA068">
      <w:pPr>
        <w:pageBreakBefore w:val="0"/>
        <w:kinsoku/>
        <w:wordWrap/>
        <w:overflowPunct/>
        <w:topLinePunct w:val="0"/>
        <w:bidi w:val="0"/>
        <w:snapToGrid w:val="0"/>
        <w:spacing w:line="600" w:lineRule="exact"/>
        <w:rPr>
          <w:b/>
          <w:sz w:val="52"/>
          <w:szCs w:val="52"/>
        </w:rPr>
      </w:pPr>
    </w:p>
    <w:p w14:paraId="1F0C7B04">
      <w:pPr>
        <w:pageBreakBefore w:val="0"/>
        <w:kinsoku/>
        <w:wordWrap/>
        <w:overflowPunct/>
        <w:topLinePunct w:val="0"/>
        <w:bidi w:val="0"/>
        <w:snapToGrid w:val="0"/>
        <w:spacing w:line="600" w:lineRule="exact"/>
        <w:jc w:val="center"/>
        <w:rPr>
          <w:b/>
          <w:sz w:val="32"/>
          <w:szCs w:val="32"/>
        </w:rPr>
      </w:pPr>
    </w:p>
    <w:p w14:paraId="49B6F3C8">
      <w:pPr>
        <w:pageBreakBefore w:val="0"/>
        <w:kinsoku/>
        <w:wordWrap/>
        <w:overflowPunct/>
        <w:topLinePunct w:val="0"/>
        <w:bidi w:val="0"/>
        <w:snapToGrid w:val="0"/>
        <w:spacing w:line="600" w:lineRule="exact"/>
        <w:jc w:val="both"/>
        <w:rPr>
          <w:b/>
          <w:sz w:val="32"/>
          <w:szCs w:val="32"/>
        </w:rPr>
      </w:pPr>
    </w:p>
    <w:p w14:paraId="0AB319F3">
      <w:pPr>
        <w:pageBreakBefore w:val="0"/>
        <w:kinsoku/>
        <w:wordWrap/>
        <w:overflowPunct/>
        <w:topLinePunct w:val="0"/>
        <w:bidi w:val="0"/>
        <w:snapToGrid w:val="0"/>
        <w:spacing w:line="600" w:lineRule="exact"/>
        <w:jc w:val="center"/>
        <w:rPr>
          <w:b/>
          <w:sz w:val="32"/>
          <w:szCs w:val="32"/>
        </w:rPr>
      </w:pPr>
    </w:p>
    <w:p w14:paraId="13F72E09">
      <w:pPr>
        <w:pageBreakBefore w:val="0"/>
        <w:kinsoku/>
        <w:wordWrap/>
        <w:overflowPunct/>
        <w:topLinePunct w:val="0"/>
        <w:bidi w:val="0"/>
        <w:snapToGrid w:val="0"/>
        <w:spacing w:line="600" w:lineRule="exact"/>
        <w:jc w:val="center"/>
        <w:rPr>
          <w:b/>
          <w:sz w:val="32"/>
          <w:szCs w:val="32"/>
        </w:rPr>
      </w:pPr>
    </w:p>
    <w:p w14:paraId="030ED44D">
      <w:pPr>
        <w:pageBreakBefore w:val="0"/>
        <w:kinsoku/>
        <w:wordWrap/>
        <w:overflowPunct/>
        <w:topLinePunct w:val="0"/>
        <w:bidi w:val="0"/>
        <w:snapToGrid w:val="0"/>
        <w:spacing w:line="600" w:lineRule="exact"/>
        <w:ind w:firstLine="960" w:firstLineChars="300"/>
        <w:jc w:val="left"/>
        <w:rPr>
          <w:rFonts w:hint="default" w:ascii="仿宋_GB2312" w:hAnsi="宋体" w:eastAsia="仿宋_GB2312" w:cs="仿宋_GB2312"/>
          <w:kern w:val="0"/>
          <w:sz w:val="32"/>
          <w:szCs w:val="32"/>
          <w:u w:val="single"/>
          <w:lang w:val="en-US" w:eastAsia="zh-CN" w:bidi="ar"/>
        </w:rPr>
      </w:pPr>
      <w:r>
        <w:rPr>
          <w:rFonts w:hint="eastAsia" w:ascii="楷体_GB2312" w:hAnsi="楷体_GB2312" w:eastAsia="楷体_GB2312" w:cs="楷体_GB2312"/>
          <w:bCs/>
          <w:sz w:val="32"/>
          <w:szCs w:val="32"/>
        </w:rPr>
        <w:t>项目名称：</w:t>
      </w:r>
      <w:bookmarkStart w:id="0" w:name="_Hlk193460476"/>
      <w:r>
        <w:rPr>
          <w:rFonts w:hint="eastAsia" w:ascii="楷体_GB2312" w:hAnsi="楷体_GB2312" w:eastAsia="楷体_GB2312" w:cs="楷体_GB2312"/>
          <w:bCs/>
          <w:sz w:val="32"/>
          <w:szCs w:val="32"/>
          <w:u w:val="single"/>
          <w:lang w:eastAsia="zh-CN"/>
        </w:rPr>
        <w:t>四川省犍为师范学校附属小学“六·一”文艺</w:t>
      </w:r>
      <w:r>
        <w:rPr>
          <w:rFonts w:hint="eastAsia" w:ascii="楷体_GB2312" w:hAnsi="楷体_GB2312" w:eastAsia="楷体_GB2312" w:cs="楷体_GB2312"/>
          <w:bCs/>
          <w:sz w:val="32"/>
          <w:szCs w:val="32"/>
          <w:u w:val="none"/>
          <w:lang w:val="en-US" w:eastAsia="zh-CN"/>
        </w:rPr>
        <w:tab/>
        <w:t/>
      </w:r>
      <w:r>
        <w:rPr>
          <w:rFonts w:hint="eastAsia" w:ascii="楷体_GB2312" w:hAnsi="楷体_GB2312" w:eastAsia="楷体_GB2312" w:cs="楷体_GB2312"/>
          <w:bCs/>
          <w:sz w:val="32"/>
          <w:szCs w:val="32"/>
          <w:u w:val="none"/>
          <w:lang w:val="en-US" w:eastAsia="zh-CN"/>
        </w:rPr>
        <w:tab/>
        <w:t/>
      </w:r>
      <w:r>
        <w:rPr>
          <w:rFonts w:hint="eastAsia" w:ascii="楷体_GB2312" w:hAnsi="楷体_GB2312" w:eastAsia="楷体_GB2312" w:cs="楷体_GB2312"/>
          <w:bCs/>
          <w:sz w:val="32"/>
          <w:szCs w:val="32"/>
          <w:u w:val="none"/>
          <w:lang w:val="en-US" w:eastAsia="zh-CN"/>
        </w:rPr>
        <w:tab/>
        <w:t/>
      </w:r>
      <w:r>
        <w:rPr>
          <w:rFonts w:hint="eastAsia" w:ascii="楷体_GB2312" w:hAnsi="楷体_GB2312" w:eastAsia="楷体_GB2312" w:cs="楷体_GB2312"/>
          <w:bCs/>
          <w:sz w:val="32"/>
          <w:szCs w:val="32"/>
          <w:u w:val="none"/>
          <w:lang w:val="en-US" w:eastAsia="zh-CN"/>
        </w:rPr>
        <w:tab/>
        <w:t/>
      </w:r>
      <w:r>
        <w:rPr>
          <w:rFonts w:hint="eastAsia" w:ascii="楷体_GB2312" w:hAnsi="楷体_GB2312" w:eastAsia="楷体_GB2312" w:cs="楷体_GB2312"/>
          <w:bCs/>
          <w:sz w:val="32"/>
          <w:szCs w:val="32"/>
          <w:u w:val="none"/>
          <w:lang w:val="en-US" w:eastAsia="zh-CN"/>
        </w:rPr>
        <w:tab/>
        <w:t/>
      </w:r>
      <w:r>
        <w:rPr>
          <w:rFonts w:hint="eastAsia" w:ascii="楷体_GB2312" w:hAnsi="楷体_GB2312" w:eastAsia="楷体_GB2312" w:cs="楷体_GB2312"/>
          <w:bCs/>
          <w:sz w:val="32"/>
          <w:szCs w:val="32"/>
          <w:u w:val="none"/>
          <w:lang w:val="en-US" w:eastAsia="zh-CN"/>
        </w:rPr>
        <w:tab/>
      </w:r>
      <w:r>
        <w:rPr>
          <w:rFonts w:hint="eastAsia" w:ascii="楷体_GB2312" w:hAnsi="楷体_GB2312" w:eastAsia="楷体_GB2312" w:cs="楷体_GB2312"/>
          <w:bCs/>
          <w:sz w:val="32"/>
          <w:szCs w:val="32"/>
          <w:u w:val="single"/>
          <w:lang w:eastAsia="zh-CN"/>
        </w:rPr>
        <w:t>汇演舞台搭建布置等服务项目</w:t>
      </w:r>
      <w:bookmarkEnd w:id="0"/>
      <w:r>
        <w:rPr>
          <w:rFonts w:hint="eastAsia" w:ascii="楷体_GB2312" w:hAnsi="楷体_GB2312" w:eastAsia="楷体_GB2312" w:cs="楷体_GB2312"/>
          <w:bCs/>
          <w:sz w:val="32"/>
          <w:szCs w:val="32"/>
          <w:u w:val="single"/>
          <w:lang w:val="en-US" w:eastAsia="zh-CN"/>
        </w:rPr>
        <w:t xml:space="preserve"> </w:t>
      </w:r>
      <w:r>
        <w:rPr>
          <w:rFonts w:hint="eastAsia" w:ascii="仿宋_GB2312" w:hAnsi="宋体" w:eastAsia="仿宋_GB2312" w:cs="仿宋_GB2312"/>
          <w:kern w:val="0"/>
          <w:sz w:val="32"/>
          <w:szCs w:val="32"/>
          <w:u w:val="single"/>
          <w:lang w:val="en-US" w:eastAsia="zh-CN" w:bidi="ar"/>
        </w:rPr>
        <w:t xml:space="preserve">                 </w:t>
      </w:r>
    </w:p>
    <w:p w14:paraId="16D522D6">
      <w:pPr>
        <w:pageBreakBefore w:val="0"/>
        <w:kinsoku/>
        <w:wordWrap/>
        <w:overflowPunct/>
        <w:topLinePunct w:val="0"/>
        <w:bidi w:val="0"/>
        <w:snapToGrid w:val="0"/>
        <w:spacing w:line="600" w:lineRule="exact"/>
        <w:ind w:firstLine="960" w:firstLineChars="300"/>
        <w:jc w:val="left"/>
        <w:rPr>
          <w:rFonts w:hint="eastAsia" w:ascii="楷体_GB2312" w:hAnsi="楷体_GB2312" w:eastAsia="楷体_GB2312" w:cs="楷体_GB2312"/>
          <w:bCs/>
          <w:sz w:val="32"/>
          <w:szCs w:val="32"/>
        </w:rPr>
      </w:pPr>
    </w:p>
    <w:p w14:paraId="6AF34498">
      <w:pPr>
        <w:pageBreakBefore w:val="0"/>
        <w:kinsoku/>
        <w:wordWrap/>
        <w:overflowPunct/>
        <w:topLinePunct w:val="0"/>
        <w:bidi w:val="0"/>
        <w:snapToGrid w:val="0"/>
        <w:spacing w:line="600" w:lineRule="exact"/>
        <w:ind w:firstLine="960" w:firstLineChars="300"/>
        <w:jc w:val="left"/>
        <w:rPr>
          <w:rFonts w:hint="eastAsia" w:ascii="楷体_GB2312" w:hAnsi="楷体_GB2312" w:eastAsia="楷体_GB2312" w:cs="楷体_GB2312"/>
          <w:bCs/>
          <w:sz w:val="32"/>
          <w:szCs w:val="32"/>
          <w:u w:val="single"/>
        </w:rPr>
      </w:pPr>
      <w:r>
        <w:rPr>
          <w:rFonts w:hint="eastAsia" w:ascii="楷体_GB2312" w:hAnsi="楷体_GB2312" w:eastAsia="楷体_GB2312" w:cs="楷体_GB2312"/>
          <w:bCs/>
          <w:sz w:val="32"/>
          <w:szCs w:val="32"/>
        </w:rPr>
        <w:t>采 购 人：</w:t>
      </w:r>
      <w:r>
        <w:rPr>
          <w:rFonts w:hint="eastAsia" w:ascii="楷体_GB2312" w:hAnsi="楷体_GB2312" w:eastAsia="楷体_GB2312" w:cs="楷体_GB2312"/>
          <w:bCs/>
          <w:sz w:val="32"/>
          <w:szCs w:val="32"/>
          <w:u w:val="single"/>
          <w:lang w:val="en-US" w:eastAsia="zh-CN"/>
        </w:rPr>
        <w:t xml:space="preserve">    </w:t>
      </w:r>
      <w:r>
        <w:rPr>
          <w:rFonts w:hint="eastAsia" w:ascii="楷体_GB2312" w:hAnsi="楷体_GB2312" w:eastAsia="楷体_GB2312" w:cs="楷体_GB2312"/>
          <w:bCs/>
          <w:sz w:val="32"/>
          <w:szCs w:val="32"/>
          <w:u w:val="single"/>
          <w:lang w:eastAsia="zh-CN"/>
        </w:rPr>
        <w:t>四川省犍为师范学校附属小学</w:t>
      </w:r>
      <w:r>
        <w:rPr>
          <w:rFonts w:hint="eastAsia" w:ascii="仿宋_GB2312" w:hAnsi="宋体" w:eastAsia="仿宋_GB2312" w:cs="仿宋_GB2312"/>
          <w:kern w:val="0"/>
          <w:sz w:val="32"/>
          <w:szCs w:val="32"/>
          <w:u w:val="single"/>
          <w:lang w:bidi="ar"/>
        </w:rPr>
        <w:t xml:space="preserve">    </w:t>
      </w:r>
      <w:r>
        <w:rPr>
          <w:rFonts w:hint="eastAsia" w:ascii="楷体_GB2312" w:hAnsi="楷体_GB2312" w:eastAsia="楷体_GB2312" w:cs="楷体_GB2312"/>
          <w:bCs/>
          <w:sz w:val="32"/>
          <w:szCs w:val="32"/>
          <w:u w:val="single"/>
        </w:rPr>
        <w:t xml:space="preserve">           </w:t>
      </w:r>
    </w:p>
    <w:p w14:paraId="119B6506">
      <w:pPr>
        <w:pageBreakBefore w:val="0"/>
        <w:kinsoku/>
        <w:wordWrap/>
        <w:overflowPunct/>
        <w:topLinePunct w:val="0"/>
        <w:bidi w:val="0"/>
        <w:snapToGrid w:val="0"/>
        <w:spacing w:line="600" w:lineRule="exact"/>
        <w:rPr>
          <w:b/>
          <w:sz w:val="32"/>
          <w:szCs w:val="32"/>
          <w:u w:val="single"/>
        </w:rPr>
      </w:pPr>
    </w:p>
    <w:p w14:paraId="5BD2DB87">
      <w:pPr>
        <w:pageBreakBefore w:val="0"/>
        <w:kinsoku/>
        <w:wordWrap/>
        <w:overflowPunct/>
        <w:topLinePunct w:val="0"/>
        <w:bidi w:val="0"/>
        <w:snapToGrid w:val="0"/>
        <w:spacing w:line="600" w:lineRule="exact"/>
        <w:rPr>
          <w:b/>
          <w:sz w:val="32"/>
          <w:szCs w:val="32"/>
          <w:u w:val="single"/>
        </w:rPr>
      </w:pPr>
    </w:p>
    <w:p w14:paraId="433CBE68">
      <w:pPr>
        <w:pageBreakBefore w:val="0"/>
        <w:kinsoku/>
        <w:wordWrap/>
        <w:overflowPunct/>
        <w:topLinePunct w:val="0"/>
        <w:bidi w:val="0"/>
        <w:snapToGrid w:val="0"/>
        <w:spacing w:line="600" w:lineRule="exact"/>
        <w:ind w:firstLine="3040" w:firstLineChars="950"/>
        <w:rPr>
          <w:b/>
          <w:bCs/>
          <w:sz w:val="32"/>
          <w:szCs w:val="32"/>
        </w:rPr>
      </w:pPr>
      <w:r>
        <w:rPr>
          <w:rFonts w:hint="eastAsia" w:ascii="黑体" w:hAnsi="黑体" w:eastAsia="黑体" w:cs="黑体"/>
          <w:sz w:val="32"/>
          <w:szCs w:val="32"/>
          <w:lang w:val="zh-CN"/>
        </w:rPr>
        <w:t>202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5</w:t>
      </w:r>
      <w:r>
        <w:rPr>
          <w:rFonts w:hint="eastAsia" w:ascii="黑体" w:hAnsi="黑体" w:eastAsia="黑体" w:cs="黑体"/>
          <w:sz w:val="32"/>
          <w:szCs w:val="32"/>
          <w:lang w:val="zh-CN"/>
        </w:rPr>
        <w:t>月</w:t>
      </w:r>
      <w:r>
        <w:rPr>
          <w:rFonts w:hint="eastAsia" w:ascii="黑体" w:hAnsi="黑体" w:eastAsia="黑体" w:cs="黑体"/>
          <w:sz w:val="32"/>
          <w:szCs w:val="32"/>
          <w:lang w:val="en-US" w:eastAsia="zh-CN"/>
        </w:rPr>
        <w:t>8</w:t>
      </w:r>
      <w:r>
        <w:rPr>
          <w:rFonts w:ascii="黑体" w:hAnsi="黑体" w:eastAsia="黑体" w:cs="黑体"/>
          <w:sz w:val="32"/>
          <w:szCs w:val="32"/>
        </w:rPr>
        <w:t>日</w:t>
      </w:r>
    </w:p>
    <w:p w14:paraId="0C6178FF">
      <w:pPr>
        <w:pageBreakBefore w:val="0"/>
        <w:kinsoku/>
        <w:wordWrap/>
        <w:overflowPunct/>
        <w:topLinePunct w:val="0"/>
        <w:bidi w:val="0"/>
        <w:snapToGrid w:val="0"/>
        <w:spacing w:line="600" w:lineRule="exact"/>
        <w:jc w:val="center"/>
        <w:rPr>
          <w:rFonts w:ascii="方正大标宋简体" w:eastAsia="方正大标宋简体"/>
          <w:bCs/>
          <w:sz w:val="44"/>
          <w:szCs w:val="44"/>
        </w:rPr>
      </w:pPr>
      <w:r>
        <w:rPr>
          <w:b/>
          <w:bCs/>
          <w:sz w:val="32"/>
          <w:szCs w:val="32"/>
          <w:lang w:val="zh-CN"/>
        </w:rPr>
        <w:br w:type="page"/>
      </w:r>
      <w:r>
        <w:rPr>
          <w:rFonts w:hint="eastAsia" w:ascii="方正大标宋简体" w:eastAsia="方正大标宋简体"/>
          <w:bCs/>
          <w:sz w:val="44"/>
          <w:szCs w:val="44"/>
        </w:rPr>
        <w:t>竞争性谈判邀请函</w:t>
      </w:r>
    </w:p>
    <w:p w14:paraId="126B809E">
      <w:pPr>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p>
    <w:p w14:paraId="4131E6CB">
      <w:pPr>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相关参与单位：</w:t>
      </w:r>
    </w:p>
    <w:p w14:paraId="326FD8D5">
      <w:pPr>
        <w:pageBreakBefore w:val="0"/>
        <w:kinsoku/>
        <w:wordWrap/>
        <w:overflowPunct/>
        <w:topLinePunct w:val="0"/>
        <w:bidi w:val="0"/>
        <w:adjustRightInd w:val="0"/>
        <w:snapToGrid w:val="0"/>
        <w:spacing w:line="600" w:lineRule="exact"/>
        <w:ind w:firstLine="640" w:firstLineChars="200"/>
      </w:pPr>
      <w:r>
        <w:rPr>
          <w:rFonts w:hint="eastAsia" w:ascii="仿宋_GB2312" w:hAnsi="仿宋_GB2312" w:eastAsia="仿宋_GB2312" w:cs="仿宋_GB2312"/>
          <w:sz w:val="32"/>
          <w:szCs w:val="32"/>
        </w:rPr>
        <w:t>参照《中华人民共和国政府采购法》《政府采购非招标采购方式管理办法》等规定，拟对本项目进行竞争性谈判，兹邀请符合本次条件的参与单位参加。具体内容如下：</w:t>
      </w:r>
    </w:p>
    <w:p w14:paraId="38674E1E">
      <w:pPr>
        <w:pageBreakBefore w:val="0"/>
        <w:numPr>
          <w:ilvl w:val="0"/>
          <w:numId w:val="1"/>
        </w:numPr>
        <w:kinsoku/>
        <w:wordWrap/>
        <w:overflowPunct/>
        <w:topLinePunct w:val="0"/>
        <w:bidi w:val="0"/>
        <w:adjustRightInd w:val="0"/>
        <w:snapToGrid w:val="0"/>
        <w:spacing w:line="60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项目名称：</w:t>
      </w:r>
      <w:bookmarkStart w:id="1" w:name="_Hlk193460554"/>
    </w:p>
    <w:p w14:paraId="71025FFE">
      <w:pPr>
        <w:pageBreakBefore w:val="0"/>
        <w:numPr>
          <w:ilvl w:val="0"/>
          <w:numId w:val="0"/>
        </w:numPr>
        <w:kinsoku/>
        <w:wordWrap/>
        <w:overflowPunct/>
        <w:topLinePunct w:val="0"/>
        <w:bidi w:val="0"/>
        <w:adjustRightInd w:val="0"/>
        <w:snapToGrid w:val="0"/>
        <w:spacing w:line="6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四川省犍为师范学校附属小学“六·一”文艺汇演舞台搭建布置等</w:t>
      </w:r>
      <w:r>
        <w:rPr>
          <w:rFonts w:ascii="仿宋_GB2312" w:hAnsi="仿宋_GB2312" w:eastAsia="仿宋_GB2312" w:cs="仿宋_GB2312"/>
          <w:sz w:val="32"/>
          <w:szCs w:val="32"/>
        </w:rPr>
        <w:t>服务项目</w:t>
      </w:r>
      <w:bookmarkEnd w:id="1"/>
    </w:p>
    <w:p w14:paraId="03297BBA">
      <w:pPr>
        <w:pageBreakBefore w:val="0"/>
        <w:kinsoku/>
        <w:wordWrap/>
        <w:overflowPunct/>
        <w:topLinePunct w:val="0"/>
        <w:bidi w:val="0"/>
        <w:adjustRightInd w:val="0"/>
        <w:snapToGrid w:val="0"/>
        <w:spacing w:line="600" w:lineRule="exact"/>
        <w:ind w:firstLine="640" w:firstLineChars="200"/>
        <w:rPr>
          <w:rFonts w:hint="eastAsia" w:ascii="黑体" w:hAnsi="黑体" w:eastAsia="黑体" w:cs="仿宋_GB2312"/>
          <w:sz w:val="32"/>
          <w:szCs w:val="32"/>
        </w:rPr>
      </w:pPr>
      <w:bookmarkStart w:id="2" w:name="_Hlk193460593"/>
      <w:r>
        <w:rPr>
          <w:rFonts w:hint="eastAsia" w:ascii="黑体" w:hAnsi="黑体" w:eastAsia="黑体" w:cs="仿宋_GB2312"/>
          <w:sz w:val="32"/>
          <w:szCs w:val="32"/>
        </w:rPr>
        <w:t>三、项目简要说明：</w:t>
      </w:r>
      <w:bookmarkStart w:id="3" w:name="_Hlk139447017"/>
      <w:r>
        <w:rPr>
          <w:rFonts w:ascii="黑体" w:hAnsi="黑体" w:eastAsia="黑体" w:cs="仿宋_GB2312"/>
          <w:sz w:val="32"/>
          <w:szCs w:val="32"/>
        </w:rPr>
        <w:t xml:space="preserve"> </w:t>
      </w:r>
    </w:p>
    <w:p w14:paraId="4C32E1F5">
      <w:pPr>
        <w:pageBreakBefore w:val="0"/>
        <w:kinsoku/>
        <w:wordWrap/>
        <w:overflowPunct/>
        <w:topLinePunct w:val="0"/>
        <w:bidi w:val="0"/>
        <w:snapToGrid w:val="0"/>
        <w:spacing w:line="600" w:lineRule="exact"/>
        <w:ind w:firstLine="643" w:firstLineChars="200"/>
        <w:rPr>
          <w:rFonts w:hint="eastAsia" w:ascii="仿宋_GB2312" w:hAnsi="仿宋_GB2312" w:eastAsia="楷体" w:cs="仿宋_GB2312"/>
          <w:b/>
          <w:sz w:val="32"/>
          <w:szCs w:val="32"/>
        </w:rPr>
      </w:pPr>
      <w:r>
        <w:rPr>
          <w:rFonts w:hint="eastAsia" w:ascii="仿宋_GB2312" w:hAnsi="仿宋_GB2312" w:eastAsia="楷体" w:cs="仿宋_GB2312"/>
          <w:b/>
          <w:sz w:val="32"/>
          <w:szCs w:val="32"/>
        </w:rPr>
        <w:t>（一）本项目为</w:t>
      </w:r>
    </w:p>
    <w:p w14:paraId="19CE88F6">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四川省犍为师范学校附属小学“六·一”文艺汇演舞台搭建布置</w:t>
      </w:r>
      <w:r>
        <w:rPr>
          <w:rFonts w:hint="eastAsia" w:ascii="仿宋_GB2312" w:hAnsi="仿宋_GB2312" w:eastAsia="仿宋_GB2312" w:cs="仿宋_GB2312"/>
          <w:sz w:val="32"/>
          <w:szCs w:val="32"/>
        </w:rPr>
        <w:t>等服务项目</w:t>
      </w:r>
    </w:p>
    <w:p w14:paraId="54A75055">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项目服务清单见附件1。</w:t>
      </w:r>
    </w:p>
    <w:bookmarkEnd w:id="3"/>
    <w:p w14:paraId="407A6B5E">
      <w:pPr>
        <w:pageBreakBefore w:val="0"/>
        <w:kinsoku/>
        <w:wordWrap/>
        <w:overflowPunct/>
        <w:topLinePunct w:val="0"/>
        <w:bidi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黑体" w:eastAsia="楷体_GB2312"/>
          <w:b/>
          <w:bCs/>
          <w:sz w:val="32"/>
          <w:szCs w:val="32"/>
        </w:rPr>
        <w:t>（二）最高限价</w:t>
      </w:r>
    </w:p>
    <w:p w14:paraId="28FEC7F3">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最高限价</w:t>
      </w:r>
      <w:r>
        <w:rPr>
          <w:rFonts w:hint="eastAsia" w:eastAsia="仿宋_GB2312" w:cs="Calibri"/>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万元（大写：</w:t>
      </w:r>
      <w:r>
        <w:rPr>
          <w:rFonts w:hint="eastAsia" w:ascii="仿宋_GB2312" w:hAnsi="仿宋_GB2312" w:eastAsia="仿宋_GB2312" w:cs="仿宋_GB2312"/>
          <w:sz w:val="32"/>
          <w:szCs w:val="32"/>
          <w:lang w:eastAsia="zh-CN"/>
        </w:rPr>
        <w:t>陆</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陆仟</w:t>
      </w:r>
      <w:r>
        <w:rPr>
          <w:rFonts w:hint="eastAsia" w:ascii="仿宋_GB2312" w:hAnsi="仿宋_GB2312" w:eastAsia="仿宋_GB2312" w:cs="仿宋_GB2312"/>
          <w:sz w:val="32"/>
          <w:szCs w:val="32"/>
        </w:rPr>
        <w:t>元整</w:t>
      </w:r>
      <w:r>
        <w:rPr>
          <w:rFonts w:ascii="仿宋_GB2312" w:hAnsi="仿宋_GB2312" w:eastAsia="仿宋_GB2312" w:cs="仿宋_GB2312"/>
          <w:sz w:val="32"/>
          <w:szCs w:val="32"/>
        </w:rPr>
        <w:t>）。</w:t>
      </w:r>
      <w:bookmarkEnd w:id="2"/>
    </w:p>
    <w:p w14:paraId="5F778AE2">
      <w:pPr>
        <w:pageBreakBefore w:val="0"/>
        <w:numPr>
          <w:ilvl w:val="0"/>
          <w:numId w:val="2"/>
        </w:numPr>
        <w:kinsoku/>
        <w:wordWrap/>
        <w:overflowPunct/>
        <w:topLinePunct w:val="0"/>
        <w:bidi w:val="0"/>
        <w:snapToGrid w:val="0"/>
        <w:spacing w:line="60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完成工期及付款方式</w:t>
      </w:r>
    </w:p>
    <w:p w14:paraId="0817E57C">
      <w:pPr>
        <w:pageBreakBefore w:val="0"/>
        <w:kinsoku/>
        <w:wordWrap/>
        <w:overflowPunct/>
        <w:topLinePunct w:val="0"/>
        <w:bidi w:val="0"/>
        <w:snapToGrid w:val="0"/>
        <w:spacing w:line="600" w:lineRule="exact"/>
        <w:ind w:firstLine="640" w:firstLineChars="200"/>
        <w:jc w:val="left"/>
        <w:rPr>
          <w:rFonts w:ascii="仿宋_GB2312" w:eastAsia="仿宋_GB2312"/>
          <w:sz w:val="32"/>
          <w:szCs w:val="32"/>
        </w:rPr>
      </w:pPr>
      <w:r>
        <w:rPr>
          <w:rFonts w:hint="eastAsia" w:eastAsia="仿宋_GB2312" w:asciiTheme="minorHAnsi" w:hAnsiTheme="minorHAnsi"/>
          <w:sz w:val="32"/>
          <w:szCs w:val="32"/>
        </w:rPr>
        <w:t>完成工期按</w:t>
      </w:r>
      <w:r>
        <w:rPr>
          <w:rFonts w:hint="eastAsia" w:eastAsia="仿宋_GB2312" w:asciiTheme="minorHAnsi" w:hAnsiTheme="minorHAnsi"/>
          <w:sz w:val="32"/>
          <w:szCs w:val="32"/>
          <w:lang w:eastAsia="zh-CN"/>
        </w:rPr>
        <w:t>采购需求（服务清单）</w:t>
      </w:r>
      <w:r>
        <w:rPr>
          <w:rFonts w:hint="eastAsia" w:eastAsia="仿宋_GB2312" w:asciiTheme="minorHAnsi" w:hAnsiTheme="minorHAnsi"/>
          <w:sz w:val="32"/>
          <w:szCs w:val="32"/>
        </w:rPr>
        <w:t>要求。舞台搭建布置等服务项目搭建完成，由采购人组织人员按照服务清单逐一验收</w:t>
      </w:r>
      <w:r>
        <w:rPr>
          <w:rFonts w:hint="eastAsia" w:eastAsia="仿宋_GB2312" w:asciiTheme="minorHAnsi" w:hAnsiTheme="minorHAnsi"/>
          <w:sz w:val="32"/>
          <w:szCs w:val="32"/>
          <w:lang w:eastAsia="zh-CN"/>
        </w:rPr>
        <w:t>，</w:t>
      </w:r>
      <w:r>
        <w:rPr>
          <w:rFonts w:hint="eastAsia" w:eastAsia="仿宋_GB2312" w:asciiTheme="minorHAnsi" w:hAnsiTheme="minorHAnsi"/>
          <w:sz w:val="32"/>
          <w:szCs w:val="32"/>
        </w:rPr>
        <w:t>合格后，</w:t>
      </w:r>
      <w:r>
        <w:rPr>
          <w:rFonts w:hint="eastAsia" w:ascii="仿宋_GB2312" w:hAnsi="仿宋_GB2312" w:eastAsia="仿宋_GB2312" w:cs="仿宋_GB2312"/>
          <w:sz w:val="32"/>
          <w:szCs w:val="32"/>
        </w:rPr>
        <w:t>12</w:t>
      </w:r>
      <w:r>
        <w:rPr>
          <w:rFonts w:hint="eastAsia" w:eastAsia="仿宋_GB2312" w:asciiTheme="minorHAnsi" w:hAnsiTheme="minorHAnsi"/>
          <w:sz w:val="32"/>
          <w:szCs w:val="32"/>
        </w:rPr>
        <w:t>个月内支付合同价格</w:t>
      </w:r>
      <w:r>
        <w:rPr>
          <w:rFonts w:hint="eastAsia" w:ascii="仿宋_GB2312" w:hAnsi="仿宋_GB2312" w:eastAsia="仿宋_GB2312" w:cs="仿宋_GB2312"/>
          <w:sz w:val="32"/>
          <w:szCs w:val="32"/>
        </w:rPr>
        <w:t>100%</w:t>
      </w:r>
      <w:r>
        <w:rPr>
          <w:rFonts w:hint="eastAsia" w:eastAsia="仿宋_GB2312" w:asciiTheme="minorHAnsi" w:hAnsiTheme="minorHAnsi"/>
          <w:sz w:val="32"/>
          <w:szCs w:val="32"/>
        </w:rPr>
        <w:t>款项。</w:t>
      </w:r>
    </w:p>
    <w:p w14:paraId="50045B7C">
      <w:pPr>
        <w:pageBreakBefore w:val="0"/>
        <w:kinsoku/>
        <w:wordWrap/>
        <w:overflowPunct/>
        <w:topLinePunct w:val="0"/>
        <w:bidi w:val="0"/>
        <w:snapToGrid w:val="0"/>
        <w:spacing w:line="600" w:lineRule="exact"/>
        <w:ind w:firstLine="707" w:firstLineChars="220"/>
        <w:jc w:val="left"/>
        <w:rPr>
          <w:rFonts w:hint="eastAsia" w:eastAsia="楷体_GB2312" w:cs="楷体_GB2312" w:asciiTheme="minorHAnsi" w:hAnsiTheme="minorHAnsi"/>
          <w:b/>
          <w:bCs/>
          <w:sz w:val="32"/>
          <w:szCs w:val="32"/>
        </w:rPr>
      </w:pPr>
      <w:r>
        <w:rPr>
          <w:rFonts w:eastAsia="楷体_GB2312" w:cs="楷体_GB2312" w:asciiTheme="minorHAnsi" w:hAnsiTheme="minorHAnsi"/>
          <w:b/>
          <w:bCs/>
          <w:sz w:val="32"/>
          <w:szCs w:val="32"/>
        </w:rPr>
        <w:t>（四）</w:t>
      </w:r>
      <w:r>
        <w:rPr>
          <w:rFonts w:hint="eastAsia" w:ascii="楷体_GB2312" w:hAnsi="楷体_GB2312" w:eastAsia="楷体_GB2312" w:cs="楷体_GB2312"/>
          <w:b/>
          <w:bCs/>
          <w:sz w:val="32"/>
          <w:szCs w:val="32"/>
        </w:rPr>
        <w:t>中选方式</w:t>
      </w:r>
    </w:p>
    <w:p w14:paraId="72A04B41">
      <w:pPr>
        <w:pageBreakBefore w:val="0"/>
        <w:kinsoku/>
        <w:wordWrap/>
        <w:overflowPunct/>
        <w:topLinePunct w:val="0"/>
        <w:bidi w:val="0"/>
        <w:snapToGrid w:val="0"/>
        <w:spacing w:line="600" w:lineRule="exact"/>
        <w:ind w:firstLine="704" w:firstLineChars="220"/>
        <w:jc w:val="left"/>
        <w:rPr>
          <w:rFonts w:ascii="仿宋_GB2312" w:eastAsia="仿宋_GB2312"/>
          <w:sz w:val="32"/>
          <w:szCs w:val="32"/>
        </w:rPr>
      </w:pPr>
      <w:r>
        <w:rPr>
          <w:rFonts w:hint="eastAsia" w:ascii="仿宋_GB2312" w:eastAsia="仿宋_GB2312"/>
          <w:sz w:val="32"/>
          <w:szCs w:val="32"/>
        </w:rPr>
        <w:t>采用竞争性</w:t>
      </w:r>
      <w:r>
        <w:rPr>
          <w:rFonts w:hint="eastAsia" w:ascii="仿宋_GB2312" w:hAnsi="仿宋_GB2312" w:eastAsia="仿宋_GB2312" w:cs="仿宋_GB2312"/>
          <w:sz w:val="32"/>
          <w:szCs w:val="32"/>
        </w:rPr>
        <w:t>谈判</w:t>
      </w:r>
      <w:r>
        <w:rPr>
          <w:rFonts w:hint="eastAsia" w:ascii="仿宋_GB2312" w:eastAsia="仿宋_GB2312"/>
          <w:sz w:val="32"/>
          <w:szCs w:val="32"/>
        </w:rPr>
        <w:t>方式。</w:t>
      </w:r>
    </w:p>
    <w:p w14:paraId="0A740489">
      <w:pPr>
        <w:pageBreakBefore w:val="0"/>
        <w:kinsoku/>
        <w:wordWrap/>
        <w:overflowPunct/>
        <w:topLinePunct w:val="0"/>
        <w:bidi w:val="0"/>
        <w:snapToGrid w:val="0"/>
        <w:spacing w:line="60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（五）其他要求</w:t>
      </w:r>
    </w:p>
    <w:p w14:paraId="1FDEC26E">
      <w:pPr>
        <w:pageBreakBefore w:val="0"/>
        <w:kinsoku/>
        <w:wordWrap/>
        <w:overflowPunct/>
        <w:topLinePunct w:val="0"/>
        <w:bidi w:val="0"/>
        <w:snapToGrid w:val="0"/>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履约保证金：中选商需在签约时缴纳中选金额（成交金额）的</w:t>
      </w:r>
      <w:r>
        <w:rPr>
          <w:rFonts w:ascii="仿宋_GB2312" w:hAnsi="方正仿宋_GB2312" w:eastAsia="仿宋_GB2312" w:cs="方正仿宋_GB2312"/>
          <w:sz w:val="32"/>
          <w:szCs w:val="32"/>
        </w:rPr>
        <w:t xml:space="preserve">8% </w:t>
      </w:r>
      <w:r>
        <w:rPr>
          <w:rFonts w:hint="eastAsia" w:ascii="仿宋_GB2312" w:hAnsi="方正仿宋_GB2312" w:eastAsia="仿宋_GB2312" w:cs="方正仿宋_GB2312"/>
          <w:sz w:val="32"/>
          <w:szCs w:val="32"/>
        </w:rPr>
        <w:t>作为履约保证金，具体条款在合同中约定，合同到期后无息归还。</w:t>
      </w:r>
    </w:p>
    <w:p w14:paraId="3FD5B474">
      <w:pPr>
        <w:pageBreakBefore w:val="0"/>
        <w:kinsoku/>
        <w:wordWrap/>
        <w:overflowPunct/>
        <w:topLinePunct w:val="0"/>
        <w:bidi w:val="0"/>
        <w:snapToGrid w:val="0"/>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合同期间若产生各种税费均由中选服务商自行承担。</w:t>
      </w:r>
    </w:p>
    <w:p w14:paraId="04788C5A">
      <w:pPr>
        <w:pageBreakBefore w:val="0"/>
        <w:kinsoku/>
        <w:wordWrap/>
        <w:overflowPunct/>
        <w:topLinePunct w:val="0"/>
        <w:bidi w:val="0"/>
        <w:snapToGrid w:val="0"/>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“六·一”文艺汇演工作及相关设施使用期间所有安全责任由中选服务商自负。</w:t>
      </w:r>
    </w:p>
    <w:p w14:paraId="1FAD13BE">
      <w:pPr>
        <w:pageBreakBefore w:val="0"/>
        <w:kinsoku/>
        <w:wordWrap/>
        <w:overflowPunct/>
        <w:topLinePunct w:val="0"/>
        <w:bidi w:val="0"/>
        <w:snapToGrid w:val="0"/>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4．中选服务商应确保设备安全（包括防掉落、防雷</w:t>
      </w:r>
      <w:r>
        <w:rPr>
          <w:rFonts w:eastAsia="仿宋_GB2312" w:cs="方正仿宋_GB2312" w:asciiTheme="minorHAnsi" w:hAnsiTheme="minorHAnsi"/>
          <w:sz w:val="32"/>
          <w:szCs w:val="32"/>
        </w:rPr>
        <w:t>、防电、防火</w:t>
      </w:r>
      <w:r>
        <w:rPr>
          <w:rFonts w:hint="eastAsia" w:ascii="仿宋_GB2312" w:hAnsi="方正仿宋_GB2312" w:eastAsia="仿宋_GB2312" w:cs="方正仿宋_GB2312"/>
          <w:sz w:val="32"/>
          <w:szCs w:val="32"/>
        </w:rPr>
        <w:t>等），由此导致的安全责任由中选服务商承担。</w:t>
      </w:r>
    </w:p>
    <w:p w14:paraId="4DDB1898">
      <w:pPr>
        <w:pageBreakBefore w:val="0"/>
        <w:kinsoku/>
        <w:wordWrap/>
        <w:overflowPunct/>
        <w:topLinePunct w:val="0"/>
        <w:bidi w:val="0"/>
        <w:snapToGrid w:val="0"/>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5.</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严禁将取得的维护服务权再转让他人，否则学校有权取消该中选服务商的维护服务权。</w:t>
      </w:r>
    </w:p>
    <w:p w14:paraId="694B5E60">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方正仿宋_GB2312" w:eastAsia="仿宋_GB2312" w:cs="方正仿宋_GB2312"/>
          <w:sz w:val="32"/>
          <w:szCs w:val="32"/>
        </w:rPr>
        <w:t>6.</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报价要求：本项目实行一次报价，报价应是本谈判文件所确定的全部工作内容的价格体现，其应包括设备、运输、劳务、管理、税金及政策性文件规定的各项应有费用。</w:t>
      </w:r>
    </w:p>
    <w:p w14:paraId="0B707CF1">
      <w:pPr>
        <w:pageBreakBefore w:val="0"/>
        <w:kinsoku/>
        <w:wordWrap/>
        <w:overflowPunct/>
        <w:topLinePunct w:val="0"/>
        <w:bidi w:val="0"/>
        <w:adjustRightInd w:val="0"/>
        <w:snapToGrid w:val="0"/>
        <w:spacing w:line="60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四、参与本项目应具备的条件：</w:t>
      </w:r>
    </w:p>
    <w:p w14:paraId="7575EAE3">
      <w:pPr>
        <w:pageBreakBefore w:val="0"/>
        <w:kinsoku/>
        <w:wordWrap/>
        <w:overflowPunct/>
        <w:topLinePunct w:val="0"/>
        <w:bidi w:val="0"/>
        <w:snapToGrid w:val="0"/>
        <w:spacing w:line="600" w:lineRule="exact"/>
        <w:ind w:firstLine="640" w:firstLineChars="200"/>
        <w:jc w:val="left"/>
        <w:rPr>
          <w:rFonts w:ascii="楷体_GB2312" w:eastAsia="楷体_GB2312"/>
          <w:bCs/>
          <w:sz w:val="32"/>
          <w:szCs w:val="32"/>
        </w:rPr>
      </w:pPr>
      <w:r>
        <w:rPr>
          <w:rFonts w:hint="eastAsia" w:ascii="楷体_GB2312" w:eastAsia="楷体_GB2312"/>
          <w:bCs/>
          <w:sz w:val="32"/>
          <w:szCs w:val="32"/>
        </w:rPr>
        <w:t>（一）参加单位须具备《中华人民共和国政府采购法》第二十二条第一款规定的条件，提供以下材料：</w:t>
      </w:r>
    </w:p>
    <w:p w14:paraId="47C0EF4A">
      <w:pPr>
        <w:pageBreakBefore w:val="0"/>
        <w:kinsoku/>
        <w:wordWrap/>
        <w:overflowPunct/>
        <w:topLinePunct w:val="0"/>
        <w:bidi w:val="0"/>
        <w:snapToGri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具有独立承担民事责任的能力,须提供与项目相符且有效的营业执照；</w:t>
      </w:r>
    </w:p>
    <w:p w14:paraId="4FA8C838">
      <w:pPr>
        <w:pageBreakBefore w:val="0"/>
        <w:kinsoku/>
        <w:wordWrap/>
        <w:overflowPunct/>
        <w:topLinePunct w:val="0"/>
        <w:bidi w:val="0"/>
        <w:snapToGrid w:val="0"/>
        <w:spacing w:line="60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 xml:space="preserve">具有良好的商业信誉和健全的财务会计制度； </w:t>
      </w:r>
    </w:p>
    <w:p w14:paraId="1915DA1F">
      <w:pPr>
        <w:pageBreakBefore w:val="0"/>
        <w:kinsoku/>
        <w:wordWrap/>
        <w:overflowPunct/>
        <w:topLinePunct w:val="0"/>
        <w:bidi w:val="0"/>
        <w:snapToGrid w:val="0"/>
        <w:spacing w:line="60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．具有履行合同所必需的专业技术能力，须提供参与商具有履行合同所必需的设备和专业技术能力承诺声明函；</w:t>
      </w:r>
      <w:r>
        <w:rPr>
          <w:rFonts w:ascii="仿宋_GB2312" w:eastAsia="仿宋_GB2312"/>
          <w:sz w:val="32"/>
          <w:szCs w:val="32"/>
        </w:rPr>
        <w:t xml:space="preserve"> </w:t>
      </w:r>
    </w:p>
    <w:p w14:paraId="765D9F91">
      <w:pPr>
        <w:pageBreakBefore w:val="0"/>
        <w:kinsoku/>
        <w:wordWrap/>
        <w:overflowPunct/>
        <w:topLinePunct w:val="0"/>
        <w:bidi w:val="0"/>
        <w:snapToGrid w:val="0"/>
        <w:spacing w:line="600" w:lineRule="exact"/>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 xml:space="preserve">有依法缴纳税收和社会保障资金的良好记录； </w:t>
      </w:r>
    </w:p>
    <w:p w14:paraId="00BF6262">
      <w:pPr>
        <w:pageBreakBefore w:val="0"/>
        <w:kinsoku/>
        <w:wordWrap/>
        <w:overflowPunct/>
        <w:topLinePunct w:val="0"/>
        <w:bidi w:val="0"/>
        <w:snapToGrid w:val="0"/>
        <w:spacing w:line="60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．投标截止日前3年在经营活动中没有重大违法记录的书面声明（截至开标日成立不足3年的服务商可提供自成立以来无重大违法记录的书面声明），格式自拟；</w:t>
      </w:r>
    </w:p>
    <w:p w14:paraId="492E01DF">
      <w:pPr>
        <w:pageBreakBefore w:val="0"/>
        <w:kinsoku/>
        <w:wordWrap/>
        <w:overflowPunct/>
        <w:topLinePunct w:val="0"/>
        <w:bidi w:val="0"/>
        <w:snapToGrid w:val="0"/>
        <w:spacing w:line="600" w:lineRule="exact"/>
        <w:ind w:firstLine="640" w:firstLineChars="200"/>
        <w:jc w:val="lef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法律、行政法规规定的其他条件。</w:t>
      </w:r>
    </w:p>
    <w:p w14:paraId="050AB1AA">
      <w:pPr>
        <w:pageBreakBefore w:val="0"/>
        <w:kinsoku/>
        <w:wordWrap/>
        <w:overflowPunct/>
        <w:topLinePunct w:val="0"/>
        <w:bidi w:val="0"/>
        <w:snapToGrid w:val="0"/>
        <w:spacing w:line="600" w:lineRule="exact"/>
        <w:ind w:firstLine="640" w:firstLineChars="200"/>
        <w:jc w:val="left"/>
        <w:rPr>
          <w:rFonts w:ascii="楷体_GB2312" w:eastAsia="楷体_GB2312"/>
          <w:bCs/>
          <w:sz w:val="32"/>
          <w:szCs w:val="32"/>
        </w:rPr>
      </w:pPr>
      <w:r>
        <w:rPr>
          <w:rFonts w:hint="eastAsia" w:ascii="楷体_GB2312" w:eastAsia="楷体_GB2312"/>
          <w:bCs/>
          <w:sz w:val="32"/>
          <w:szCs w:val="32"/>
        </w:rPr>
        <w:t>（二）本项目不接受联合体投标。</w:t>
      </w:r>
    </w:p>
    <w:p w14:paraId="064E8A0C">
      <w:pPr>
        <w:pageBreakBefore w:val="0"/>
        <w:kinsoku/>
        <w:wordWrap/>
        <w:overflowPunct/>
        <w:topLinePunct w:val="0"/>
        <w:bidi w:val="0"/>
        <w:adjustRightInd w:val="0"/>
        <w:snapToGrid w:val="0"/>
        <w:spacing w:line="60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五、获取谈判文件：</w:t>
      </w:r>
    </w:p>
    <w:p w14:paraId="743DCF35">
      <w:pPr>
        <w:pageBreakBefore w:val="0"/>
        <w:kinsoku/>
        <w:wordWrap/>
        <w:overflowPunct/>
        <w:topLinePunct w:val="0"/>
        <w:bidi w:val="0"/>
        <w:adjustRightInd w:val="0"/>
        <w:snapToGrid w:val="0"/>
        <w:spacing w:line="600" w:lineRule="exact"/>
        <w:ind w:firstLine="640" w:firstLineChars="200"/>
        <w:rPr>
          <w:rFonts w:hint="eastAsia" w:ascii="楷体_GB2312" w:eastAsia="楷体_GB2312" w:cs="楷体_GB2312" w:hAnsiTheme="minorHAnsi"/>
          <w:bCs/>
          <w:sz w:val="32"/>
          <w:szCs w:val="32"/>
        </w:rPr>
      </w:pPr>
      <w:r>
        <w:rPr>
          <w:rFonts w:hint="eastAsia" w:ascii="楷体_GB2312" w:eastAsia="楷体_GB2312"/>
          <w:bCs/>
          <w:sz w:val="32"/>
          <w:szCs w:val="32"/>
        </w:rPr>
        <w:t>（一）投标文件获取</w:t>
      </w:r>
    </w:p>
    <w:p w14:paraId="1D094929">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凭单位的营业执照复印件加盖鲜章、介绍信原件（法人代表或负责人本人领取不需要）和领取人身份证原件（复印件备存）领取谈判文件。</w:t>
      </w:r>
    </w:p>
    <w:p w14:paraId="69C3DF88">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领取时间：202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年5月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年5月14日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工作日上午09：00—11:30，下午14:00—17:00（北京时间）。</w:t>
      </w:r>
    </w:p>
    <w:p w14:paraId="397861E8">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领取地点：</w:t>
      </w:r>
      <w:r>
        <w:rPr>
          <w:rFonts w:hint="eastAsia" w:ascii="仿宋_GB2312" w:hAnsi="仿宋_GB2312" w:eastAsia="仿宋_GB2312" w:cs="仿宋_GB2312"/>
          <w:sz w:val="32"/>
          <w:szCs w:val="32"/>
          <w:lang w:eastAsia="zh-CN"/>
        </w:rPr>
        <w:t>四川省犍为师范学校附属小学办公楼</w:t>
      </w:r>
      <w:r>
        <w:rPr>
          <w:rFonts w:hint="eastAsia" w:ascii="仿宋_GB2312" w:hAnsi="仿宋_GB2312" w:eastAsia="仿宋_GB2312" w:cs="仿宋_GB2312"/>
          <w:sz w:val="32"/>
          <w:szCs w:val="32"/>
        </w:rPr>
        <w:t>后勤办公室。</w:t>
      </w:r>
    </w:p>
    <w:p w14:paraId="2C21D1E4">
      <w:pPr>
        <w:pageBreakBefore w:val="0"/>
        <w:kinsoku/>
        <w:wordWrap/>
        <w:overflowPunct/>
        <w:topLinePunct w:val="0"/>
        <w:bidi w:val="0"/>
        <w:adjustRightInd w:val="0"/>
        <w:snapToGrid w:val="0"/>
        <w:spacing w:line="600" w:lineRule="exact"/>
        <w:ind w:firstLine="640" w:firstLineChars="200"/>
        <w:rPr>
          <w:rFonts w:hint="eastAsia" w:ascii="楷体_GB2312" w:hAnsi="楷体_GB2312" w:eastAsia="楷体_GB2312" w:cs="楷体_GB2312"/>
          <w:bCs/>
          <w:sz w:val="32"/>
          <w:szCs w:val="32"/>
        </w:rPr>
      </w:pPr>
      <w:r>
        <w:rPr>
          <w:rFonts w:hint="eastAsia" w:ascii="楷体_GB2312" w:eastAsia="楷体_GB2312"/>
          <w:bCs/>
          <w:sz w:val="32"/>
          <w:szCs w:val="32"/>
        </w:rPr>
        <w:t>（</w:t>
      </w:r>
      <w:r>
        <w:rPr>
          <w:rFonts w:hint="eastAsia" w:ascii="楷体_GB2312" w:eastAsia="楷体_GB2312" w:hAnsiTheme="minorHAnsi"/>
          <w:bCs/>
          <w:sz w:val="32"/>
          <w:szCs w:val="32"/>
        </w:rPr>
        <w:t>二</w:t>
      </w:r>
      <w:r>
        <w:rPr>
          <w:rFonts w:hint="eastAsia" w:ascii="楷体_GB2312" w:eastAsia="楷体_GB2312"/>
          <w:bCs/>
          <w:sz w:val="32"/>
          <w:szCs w:val="32"/>
        </w:rPr>
        <w:t>）投标文件递交</w:t>
      </w:r>
    </w:p>
    <w:p w14:paraId="287DEC6D">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凡有意参加谈判者，请于202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-8:55</w:t>
      </w:r>
      <w:r>
        <w:rPr>
          <w:rFonts w:hint="eastAsia" w:ascii="仿宋_GB2312" w:hAnsi="仿宋_GB2312" w:eastAsia="仿宋_GB2312" w:cs="仿宋_GB2312"/>
          <w:sz w:val="32"/>
          <w:szCs w:val="32"/>
        </w:rPr>
        <w:t>（北京时间）,报送资料到</w:t>
      </w:r>
      <w:r>
        <w:rPr>
          <w:rFonts w:hint="eastAsia" w:ascii="仿宋_GB2312" w:hAnsi="仿宋_GB2312" w:eastAsia="仿宋_GB2312" w:cs="仿宋_GB2312"/>
          <w:sz w:val="32"/>
          <w:szCs w:val="32"/>
          <w:lang w:eastAsia="zh-CN"/>
        </w:rPr>
        <w:t>四川省犍为师范学校附属小学录播室</w:t>
      </w:r>
      <w:r>
        <w:rPr>
          <w:rFonts w:ascii="仿宋_GB2312" w:hAnsi="仿宋_GB2312" w:eastAsia="仿宋_GB2312" w:cs="仿宋_GB2312"/>
          <w:sz w:val="32"/>
          <w:szCs w:val="32"/>
        </w:rPr>
        <w:t>，并于202</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:00参加</w:t>
      </w:r>
      <w:r>
        <w:rPr>
          <w:rFonts w:hint="eastAsia" w:ascii="仿宋_GB2312" w:hAnsi="仿宋_GB2312" w:eastAsia="仿宋_GB2312" w:cs="仿宋_GB2312"/>
          <w:sz w:val="32"/>
          <w:szCs w:val="32"/>
        </w:rPr>
        <w:t>谈判。届时请参加谈判的单位法人或法人委托人参与谈判，迟到的参与单位，采购单位有权拒绝其响应文件。</w:t>
      </w:r>
    </w:p>
    <w:p w14:paraId="01E3C7DA">
      <w:pPr>
        <w:pageBreakBefore w:val="0"/>
        <w:kinsoku/>
        <w:wordWrap/>
        <w:overflowPunct/>
        <w:topLinePunct w:val="0"/>
        <w:bidi w:val="0"/>
        <w:snapToGrid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eastAsia="楷体_GB2312" w:cs="楷体_GB2312" w:hAnsiTheme="minorHAnsi"/>
          <w:sz w:val="32"/>
          <w:szCs w:val="32"/>
        </w:rPr>
        <w:t>三</w:t>
      </w:r>
      <w:r>
        <w:rPr>
          <w:rFonts w:hint="eastAsia" w:ascii="楷体_GB2312" w:hAnsi="楷体_GB2312" w:eastAsia="楷体_GB2312" w:cs="楷体_GB2312"/>
          <w:sz w:val="32"/>
          <w:szCs w:val="32"/>
        </w:rPr>
        <w:t>）谈判文件须包含以下材料</w:t>
      </w:r>
    </w:p>
    <w:p w14:paraId="1A7696CB">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1.负责人（或委托代理人）身份证原件（现场查验），负责人（或委托代理人）身份证复印件（盖服务商鲜章）</w:t>
      </w:r>
      <w:r>
        <w:rPr>
          <w:rFonts w:ascii="仿宋_GB2312" w:hAnsi="仿宋_GB2312" w:eastAsia="仿宋_GB2312" w:cs="仿宋_GB2312"/>
          <w:sz w:val="32"/>
          <w:szCs w:val="32"/>
        </w:rPr>
        <w:t>；</w:t>
      </w:r>
    </w:p>
    <w:p w14:paraId="52839DBF">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2.若是委托代理人，须有负责人授权委托书原件（盖服务商鲜章且由委托人签字）；</w:t>
      </w:r>
    </w:p>
    <w:p w14:paraId="1E479B7B">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3.营业执照或三证合一证照复印件（正本或副本盖服务商鲜章）；</w:t>
      </w:r>
    </w:p>
    <w:p w14:paraId="3C247129">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4.无违法违规违纪证明材料或者承诺书（盖服务商鲜章且负责人签字）</w:t>
      </w:r>
      <w:r>
        <w:rPr>
          <w:rFonts w:ascii="仿宋_GB2312" w:hAnsi="仿宋_GB2312" w:eastAsia="仿宋_GB2312" w:cs="仿宋_GB2312"/>
          <w:sz w:val="32"/>
          <w:szCs w:val="32"/>
        </w:rPr>
        <w:t>。</w:t>
      </w:r>
    </w:p>
    <w:p w14:paraId="5D160391">
      <w:pPr>
        <w:pageBreakBefore w:val="0"/>
        <w:kinsoku/>
        <w:wordWrap/>
        <w:overflowPunct/>
        <w:topLinePunct w:val="0"/>
        <w:bidi w:val="0"/>
        <w:snapToGrid w:val="0"/>
        <w:spacing w:line="600" w:lineRule="exact"/>
        <w:ind w:firstLine="640" w:firstLineChars="200"/>
        <w:rPr>
          <w:rFonts w:hint="eastAsia" w:eastAsia="仿宋_GB2312" w:cs="仿宋_GB2312" w:asciiTheme="minorHAnsi" w:hAnsiTheme="minorHAnsi"/>
          <w:sz w:val="32"/>
          <w:szCs w:val="32"/>
        </w:rPr>
      </w:pPr>
      <w:r>
        <w:rPr>
          <w:rFonts w:ascii="仿宋_GB2312" w:hAnsi="仿宋_GB2312" w:eastAsia="仿宋_GB2312" w:cs="仿宋_GB2312"/>
          <w:sz w:val="32"/>
          <w:szCs w:val="32"/>
        </w:rPr>
        <w:t>5.报价单及人员、材料等响应文件（</w:t>
      </w:r>
      <w:r>
        <w:rPr>
          <w:rFonts w:hint="eastAsia" w:ascii="仿宋_GB2312" w:hAnsi="仿宋_GB2312" w:eastAsia="仿宋_GB2312" w:cs="仿宋_GB2312"/>
          <w:sz w:val="32"/>
          <w:szCs w:val="32"/>
        </w:rPr>
        <w:t>盖服务商鲜章且负责人签字</w:t>
      </w:r>
      <w:r>
        <w:rPr>
          <w:rFonts w:ascii="仿宋_GB2312" w:hAnsi="仿宋_GB2312" w:eastAsia="仿宋_GB2312" w:cs="仿宋_GB2312"/>
          <w:sz w:val="32"/>
          <w:szCs w:val="32"/>
        </w:rPr>
        <w:t>）。</w:t>
      </w:r>
    </w:p>
    <w:p w14:paraId="1DFDCDE6">
      <w:pPr>
        <w:pStyle w:val="5"/>
        <w:pageBreakBefore w:val="0"/>
        <w:kinsoku/>
        <w:wordWrap/>
        <w:overflowPunct/>
        <w:topLinePunct w:val="0"/>
        <w:bidi w:val="0"/>
        <w:snapToGrid w:val="0"/>
        <w:spacing w:line="600" w:lineRule="exact"/>
        <w:ind w:firstLine="640"/>
        <w:rPr>
          <w:rFonts w:hint="eastAsia" w:asciiTheme="minorHAnsi" w:hAnsiTheme="minorHAnsi"/>
        </w:rPr>
      </w:pPr>
      <w:r>
        <w:rPr>
          <w:rFonts w:ascii="仿宋_GB2312" w:hAnsi="仿宋_GB2312" w:eastAsia="仿宋_GB2312" w:cs="仿宋_GB2312"/>
          <w:sz w:val="32"/>
          <w:szCs w:val="32"/>
        </w:rPr>
        <w:t>6.服务</w:t>
      </w:r>
      <w:r>
        <w:rPr>
          <w:rFonts w:eastAsia="仿宋_GB2312" w:cs="仿宋_GB2312" w:asciiTheme="minorHAnsi" w:hAnsiTheme="minorHAnsi"/>
          <w:sz w:val="32"/>
          <w:szCs w:val="32"/>
        </w:rPr>
        <w:t>清单上要求的其它材料。</w:t>
      </w:r>
    </w:p>
    <w:p w14:paraId="341FC3E8">
      <w:pPr>
        <w:pageBreakBefore w:val="0"/>
        <w:kinsoku/>
        <w:wordWrap/>
        <w:overflowPunct/>
        <w:topLinePunct w:val="0"/>
        <w:bidi w:val="0"/>
        <w:snapToGrid w:val="0"/>
        <w:spacing w:line="600" w:lineRule="exact"/>
        <w:ind w:firstLine="643" w:firstLineChars="200"/>
        <w:rPr>
          <w:rFonts w:hint="eastAsia" w:eastAsia="仿宋_GB2312" w:cs="仿宋_GB2312" w:asciiTheme="minorHAnsi" w:hAnsiTheme="minorHAnsi"/>
          <w:sz w:val="32"/>
          <w:szCs w:val="32"/>
        </w:rPr>
      </w:pPr>
      <w:r>
        <w:rPr>
          <w:rFonts w:hint="eastAsia" w:ascii="楷体_GB2312" w:hAnsi="楷体_GB2312" w:eastAsia="楷体_GB2312" w:cs="楷体_GB2312"/>
          <w:b/>
          <w:bCs/>
          <w:sz w:val="32"/>
          <w:szCs w:val="32"/>
        </w:rPr>
        <w:t>（</w:t>
      </w:r>
      <w:r>
        <w:rPr>
          <w:rFonts w:ascii="楷体_GB2312" w:hAnsi="楷体_GB2312" w:eastAsia="楷体_GB2312" w:cs="楷体_GB2312"/>
          <w:b/>
          <w:bCs/>
          <w:sz w:val="32"/>
          <w:szCs w:val="32"/>
        </w:rPr>
        <w:t>四</w:t>
      </w:r>
      <w:r>
        <w:rPr>
          <w:rFonts w:hint="eastAsia" w:ascii="楷体_GB2312" w:hAnsi="楷体_GB2312" w:eastAsia="楷体_GB2312" w:cs="楷体_GB2312"/>
          <w:b/>
          <w:bCs/>
          <w:sz w:val="32"/>
          <w:szCs w:val="32"/>
        </w:rPr>
        <w:t>）谈判文件</w:t>
      </w:r>
      <w:r>
        <w:rPr>
          <w:rFonts w:ascii="楷体_GB2312" w:hAnsi="楷体_GB2312" w:eastAsia="楷体_GB2312" w:cs="楷体_GB2312"/>
          <w:b/>
          <w:bCs/>
          <w:sz w:val="32"/>
          <w:szCs w:val="32"/>
        </w:rPr>
        <w:t>的制作</w:t>
      </w:r>
    </w:p>
    <w:p w14:paraId="753C302B">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谈判文件内容、格式、装订由服务商自行制作，但封面内容应包含参与谈判商</w:t>
      </w:r>
      <w:r>
        <w:rPr>
          <w:rFonts w:ascii="仿宋_GB2312" w:hAnsi="仿宋_GB2312" w:eastAsia="仿宋_GB2312" w:cs="仿宋_GB2312"/>
          <w:sz w:val="32"/>
          <w:szCs w:val="32"/>
        </w:rPr>
        <w:t>家</w:t>
      </w:r>
      <w:r>
        <w:rPr>
          <w:rFonts w:hint="eastAsia" w:ascii="仿宋_GB2312" w:hAnsi="仿宋_GB2312" w:eastAsia="仿宋_GB2312" w:cs="仿宋_GB2312"/>
          <w:sz w:val="32"/>
          <w:szCs w:val="32"/>
        </w:rPr>
        <w:t>名称、项目、日期等主要信息。谈判文件须密封，封面及密封处应加盖服务商鲜章。谈判文件按照文件规定密封，未密封视作无效。</w:t>
      </w:r>
    </w:p>
    <w:p w14:paraId="2110D3F7">
      <w:pPr>
        <w:pageBreakBefore w:val="0"/>
        <w:kinsoku/>
        <w:wordWrap/>
        <w:overflowPunct/>
        <w:topLinePunct w:val="0"/>
        <w:bidi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六、联系方式</w:t>
      </w:r>
    </w:p>
    <w:p w14:paraId="090551DA">
      <w:pPr>
        <w:pStyle w:val="5"/>
        <w:pageBreakBefore w:val="0"/>
        <w:kinsoku/>
        <w:wordWrap/>
        <w:overflowPunct/>
        <w:topLinePunct w:val="0"/>
        <w:bidi w:val="0"/>
        <w:snapToGrid w:val="0"/>
        <w:spacing w:line="600" w:lineRule="exact"/>
        <w:ind w:firstLine="640"/>
      </w:pP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rPr>
        <w:t>老师（联系电话：</w:t>
      </w:r>
      <w:r>
        <w:rPr>
          <w:rFonts w:hint="eastAsia" w:ascii="仿宋_GB2312" w:hAnsi="仿宋_GB2312" w:eastAsia="仿宋_GB2312" w:cs="仿宋_GB2312"/>
          <w:sz w:val="32"/>
          <w:szCs w:val="32"/>
          <w:lang w:val="en-US" w:eastAsia="zh-CN"/>
        </w:rPr>
        <w:t>18990673888</w:t>
      </w:r>
      <w:r>
        <w:rPr>
          <w:rFonts w:hint="eastAsia" w:ascii="仿宋_GB2312" w:hAnsi="仿宋_GB2312" w:eastAsia="仿宋_GB2312" w:cs="仿宋_GB2312"/>
          <w:sz w:val="32"/>
          <w:szCs w:val="32"/>
        </w:rPr>
        <w:t>）</w:t>
      </w:r>
    </w:p>
    <w:p w14:paraId="3E5A8296">
      <w:pPr>
        <w:pageBreakBefore w:val="0"/>
        <w:kinsoku/>
        <w:wordWrap/>
        <w:overflowPunct/>
        <w:topLinePunct w:val="0"/>
        <w:bidi w:val="0"/>
        <w:adjustRightInd w:val="0"/>
        <w:snapToGrid w:val="0"/>
        <w:spacing w:line="60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七、谈判时间、地点：</w:t>
      </w:r>
    </w:p>
    <w:p w14:paraId="31508F4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:00（北京时间），</w:t>
      </w:r>
      <w:r>
        <w:rPr>
          <w:rFonts w:hint="eastAsia" w:ascii="仿宋_GB2312" w:hAnsi="仿宋_GB2312" w:eastAsia="仿宋_GB2312" w:cs="仿宋_GB2312"/>
          <w:sz w:val="32"/>
          <w:szCs w:val="32"/>
          <w:lang w:eastAsia="zh-CN"/>
        </w:rPr>
        <w:t>四川省犍为师范学校附属小学录播室</w:t>
      </w:r>
      <w:r>
        <w:rPr>
          <w:rFonts w:hint="eastAsia" w:ascii="仿宋_GB2312" w:hAnsi="仿宋_GB2312" w:eastAsia="仿宋_GB2312" w:cs="仿宋_GB2312"/>
          <w:sz w:val="32"/>
          <w:szCs w:val="32"/>
        </w:rPr>
        <w:t>。</w:t>
      </w:r>
    </w:p>
    <w:p w14:paraId="047E0870">
      <w:pPr>
        <w:pStyle w:val="5"/>
        <w:pageBreakBefore w:val="0"/>
        <w:kinsoku/>
        <w:wordWrap/>
        <w:overflowPunct/>
        <w:topLinePunct w:val="0"/>
        <w:bidi w:val="0"/>
        <w:snapToGrid w:val="0"/>
        <w:spacing w:line="600" w:lineRule="exact"/>
        <w:ind w:firstLine="0" w:firstLineChars="0"/>
      </w:pPr>
    </w:p>
    <w:p w14:paraId="691A601C">
      <w:pPr>
        <w:pageBreakBefore w:val="0"/>
        <w:widowControl/>
        <w:kinsoku/>
        <w:wordWrap/>
        <w:overflowPunct/>
        <w:topLinePunct w:val="0"/>
        <w:bidi w:val="0"/>
        <w:snapToGrid w:val="0"/>
        <w:spacing w:line="600" w:lineRule="exact"/>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响应文件的组成内容及相关要求</w:t>
      </w:r>
    </w:p>
    <w:p w14:paraId="33E5F36E">
      <w:pPr>
        <w:pageBreakBefore w:val="0"/>
        <w:widowControl/>
        <w:kinsoku/>
        <w:wordWrap/>
        <w:overflowPunct/>
        <w:topLinePunct w:val="0"/>
        <w:bidi w:val="0"/>
        <w:adjustRightInd w:val="0"/>
        <w:snapToGrid w:val="0"/>
        <w:spacing w:line="600" w:lineRule="exact"/>
        <w:jc w:val="left"/>
        <w:rPr>
          <w:rFonts w:hint="eastAsia" w:ascii="微软雅黑" w:hAnsi="微软雅黑" w:eastAsia="微软雅黑" w:cs="微软雅黑"/>
          <w:kern w:val="0"/>
          <w:sz w:val="32"/>
          <w:szCs w:val="32"/>
          <w:lang w:bidi="ar"/>
        </w:rPr>
      </w:pPr>
    </w:p>
    <w:p w14:paraId="17B893F6">
      <w:pPr>
        <w:pageBreakBefore w:val="0"/>
        <w:kinsoku/>
        <w:wordWrap/>
        <w:overflowPunct/>
        <w:topLinePunct w:val="0"/>
        <w:bidi w:val="0"/>
        <w:adjustRightInd w:val="0"/>
        <w:snapToGrid w:val="0"/>
        <w:spacing w:line="60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一、响应文件组成内容</w:t>
      </w:r>
    </w:p>
    <w:p w14:paraId="1F110568">
      <w:pPr>
        <w:pageBreakBefore w:val="0"/>
        <w:kinsoku/>
        <w:wordWrap/>
        <w:overflowPunct/>
        <w:topLinePunct w:val="0"/>
        <w:bidi w:val="0"/>
        <w:adjustRightInd w:val="0"/>
        <w:snapToGrid w:val="0"/>
        <w:spacing w:line="600" w:lineRule="exact"/>
        <w:ind w:firstLine="640" w:firstLineChars="200"/>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主要包括以下四方面的内容：</w:t>
      </w:r>
    </w:p>
    <w:p w14:paraId="54197F63">
      <w:pPr>
        <w:pageBreakBefore w:val="0"/>
        <w:kinsoku/>
        <w:wordWrap/>
        <w:overflowPunct/>
        <w:topLinePunct w:val="0"/>
        <w:bidi w:val="0"/>
        <w:adjustRightInd w:val="0"/>
        <w:snapToGrid w:val="0"/>
        <w:spacing w:line="600" w:lineRule="exact"/>
        <w:ind w:firstLine="643" w:firstLineChars="200"/>
        <w:rPr>
          <w:rFonts w:hint="eastAsia" w:ascii="楷体_GB2312" w:eastAsia="楷体_GB2312" w:cs="仿宋_GB2312" w:hAnsiTheme="minorHAnsi"/>
          <w:b/>
          <w:bCs/>
          <w:kern w:val="0"/>
          <w:sz w:val="32"/>
          <w:szCs w:val="32"/>
          <w:lang w:bidi="ar"/>
        </w:rPr>
      </w:pPr>
      <w:r>
        <w:rPr>
          <w:rFonts w:hint="eastAsia" w:ascii="楷体_GB2312" w:hAnsi="仿宋_GB2312" w:eastAsia="楷体_GB2312" w:cs="仿宋_GB2312"/>
          <w:b/>
          <w:bCs/>
          <w:kern w:val="0"/>
          <w:sz w:val="32"/>
          <w:szCs w:val="32"/>
          <w:lang w:bidi="ar"/>
        </w:rPr>
        <w:t>（</w:t>
      </w:r>
      <w:r>
        <w:rPr>
          <w:rFonts w:hint="eastAsia" w:ascii="楷体_GB2312" w:eastAsia="楷体_GB2312" w:cs="仿宋_GB2312" w:hAnsiTheme="minorHAnsi"/>
          <w:b/>
          <w:bCs/>
          <w:kern w:val="0"/>
          <w:sz w:val="32"/>
          <w:szCs w:val="32"/>
          <w:lang w:bidi="ar"/>
        </w:rPr>
        <w:t>一）</w:t>
      </w:r>
      <w:r>
        <w:rPr>
          <w:rFonts w:hint="eastAsia" w:ascii="楷体_GB2312" w:hAnsi="仿宋_GB2312" w:eastAsia="楷体_GB2312" w:cs="仿宋_GB2312"/>
          <w:b/>
          <w:bCs/>
          <w:kern w:val="0"/>
          <w:sz w:val="32"/>
          <w:szCs w:val="32"/>
          <w:lang w:bidi="ar"/>
        </w:rPr>
        <w:t>资格文件</w:t>
      </w:r>
    </w:p>
    <w:p w14:paraId="6B0933BB">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提供单位参与本项目条件相关的证明材料或书面承诺（加盖单位公章），如：包括但不限于如营业执照副本、有效的资质证书副本、法人及其委托书、近期以来依法缴纳税收和社会保障资金的良好记录证明材料、履行合同所必需的设备和专业技术能力及无重大违法记录书面承诺等。</w:t>
      </w:r>
    </w:p>
    <w:p w14:paraId="15F33283">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技术服务文件</w:t>
      </w:r>
    </w:p>
    <w:p w14:paraId="5B127BAD">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包括但不限于对本项目的服务应答表、合同主要条款响应及偏离表、其他实质性要求、实施方案（含工作方案、技术措施、人员配置、应急方案等）、评分有关的其他内容等作出的响应。</w:t>
      </w:r>
    </w:p>
    <w:p w14:paraId="6F1F87AB">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（三）</w:t>
      </w:r>
      <w:r>
        <w:rPr>
          <w:rFonts w:hint="eastAsia" w:ascii="楷体_GB2312" w:hAnsi="仿宋_GB2312" w:eastAsia="楷体_GB2312" w:cs="仿宋_GB2312"/>
          <w:b/>
          <w:bCs/>
          <w:kern w:val="0"/>
          <w:sz w:val="32"/>
          <w:szCs w:val="32"/>
          <w:lang w:bidi="ar"/>
        </w:rPr>
        <w:t>最终报价表</w:t>
      </w:r>
      <w:bookmarkStart w:id="4" w:name="_Toc308164802"/>
      <w:bookmarkStart w:id="5" w:name="_Toc183682362"/>
      <w:bookmarkStart w:id="6" w:name="_Toc217446052"/>
      <w:bookmarkStart w:id="7" w:name="_Toc183582225"/>
    </w:p>
    <w:p w14:paraId="508FDDDE">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color w:val="FF0000"/>
          <w:kern w:val="0"/>
          <w:sz w:val="32"/>
          <w:szCs w:val="32"/>
          <w:lang w:bidi="ar"/>
        </w:rPr>
      </w:pPr>
      <w:r>
        <w:rPr>
          <w:rFonts w:ascii="楷体_GB2312" w:hAnsi="仿宋_GB2312" w:eastAsia="楷体_GB2312" w:cs="仿宋_GB2312"/>
          <w:b/>
          <w:bCs/>
          <w:color w:val="FF0000"/>
          <w:kern w:val="0"/>
          <w:sz w:val="32"/>
          <w:szCs w:val="32"/>
          <w:lang w:bidi="ar"/>
        </w:rPr>
        <w:t>（四）</w:t>
      </w:r>
      <w:r>
        <w:rPr>
          <w:rFonts w:hint="eastAsia" w:ascii="楷体_GB2312" w:hAnsi="仿宋_GB2312" w:eastAsia="楷体_GB2312" w:cs="仿宋_GB2312"/>
          <w:b/>
          <w:bCs/>
          <w:color w:val="FF0000"/>
          <w:kern w:val="0"/>
          <w:sz w:val="32"/>
          <w:szCs w:val="32"/>
          <w:lang w:bidi="ar"/>
        </w:rPr>
        <w:t>设计效果</w:t>
      </w:r>
    </w:p>
    <w:p w14:paraId="27A49393">
      <w:pPr>
        <w:pStyle w:val="5"/>
        <w:pageBreakBefore w:val="0"/>
        <w:kinsoku/>
        <w:wordWrap/>
        <w:overflowPunct/>
        <w:topLinePunct w:val="0"/>
        <w:bidi w:val="0"/>
        <w:snapToGrid w:val="0"/>
        <w:spacing w:line="600" w:lineRule="exact"/>
        <w:ind w:firstLine="640"/>
        <w:rPr>
          <w:rFonts w:eastAsia="仿宋_GB2312"/>
        </w:rPr>
      </w:pPr>
      <w:r>
        <w:rPr>
          <w:rFonts w:hint="eastAsia" w:ascii="仿宋_GB2312" w:hAnsi="仿宋_GB2312" w:eastAsia="仿宋_GB2312" w:cs="仿宋_GB2312"/>
          <w:b/>
          <w:bCs/>
          <w:color w:val="FF0000"/>
          <w:kern w:val="0"/>
          <w:sz w:val="32"/>
          <w:szCs w:val="32"/>
          <w:lang w:eastAsia="zh-CN" w:bidi="ar"/>
        </w:rPr>
        <w:t>制作舞台搭建全景效果及局部效果图纸，如有</w:t>
      </w:r>
      <w:r>
        <w:rPr>
          <w:rFonts w:hint="eastAsia" w:ascii="仿宋_GB2312" w:hAnsi="仿宋_GB2312" w:eastAsia="仿宋_GB2312" w:cs="仿宋_GB2312"/>
          <w:b/>
          <w:bCs/>
          <w:color w:val="FF0000"/>
          <w:kern w:val="0"/>
          <w:sz w:val="32"/>
          <w:szCs w:val="32"/>
          <w:lang w:bidi="ar"/>
        </w:rPr>
        <w:t>通过现场依托PPT或其它电子信息化方式进行展示与讲解（此项可不装入密封的响应文件袋，但应在谈判前拷贝到谈判现场的</w:t>
      </w:r>
      <w:r>
        <w:rPr>
          <w:rFonts w:hint="eastAsia" w:ascii="仿宋_GB2312" w:hAnsi="仿宋_GB2312" w:eastAsia="仿宋_GB2312" w:cs="仿宋_GB2312"/>
          <w:b/>
          <w:bCs/>
          <w:color w:val="FF0000"/>
          <w:kern w:val="0"/>
          <w:sz w:val="32"/>
          <w:szCs w:val="32"/>
          <w:lang w:eastAsia="zh-CN" w:bidi="ar"/>
        </w:rPr>
        <w:t>电子白板</w:t>
      </w:r>
      <w:r>
        <w:rPr>
          <w:rFonts w:hint="eastAsia" w:ascii="仿宋_GB2312" w:hAnsi="仿宋_GB2312" w:eastAsia="仿宋_GB2312" w:cs="仿宋_GB2312"/>
          <w:b/>
          <w:bCs/>
          <w:color w:val="FF0000"/>
          <w:kern w:val="0"/>
          <w:sz w:val="32"/>
          <w:szCs w:val="32"/>
          <w:lang w:bidi="ar"/>
        </w:rPr>
        <w:t>上）。</w:t>
      </w:r>
    </w:p>
    <w:p w14:paraId="6FBE29F8">
      <w:pPr>
        <w:pageBreakBefore w:val="0"/>
        <w:kinsoku/>
        <w:wordWrap/>
        <w:overflowPunct/>
        <w:topLinePunct w:val="0"/>
        <w:bidi w:val="0"/>
        <w:adjustRightInd w:val="0"/>
        <w:snapToGrid w:val="0"/>
        <w:spacing w:line="60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二、响应文件编制要求</w:t>
      </w:r>
    </w:p>
    <w:p w14:paraId="6A039E5A">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（一）</w:t>
      </w:r>
      <w:r>
        <w:rPr>
          <w:rFonts w:hint="eastAsia" w:ascii="楷体_GB2312" w:hAnsi="仿宋_GB2312" w:eastAsia="楷体_GB2312" w:cs="仿宋_GB2312"/>
          <w:b/>
          <w:bCs/>
          <w:kern w:val="0"/>
          <w:sz w:val="32"/>
          <w:szCs w:val="32"/>
          <w:lang w:bidi="ar"/>
        </w:rPr>
        <w:t>响应文件的印制和签署</w:t>
      </w:r>
      <w:bookmarkEnd w:id="4"/>
      <w:bookmarkEnd w:id="5"/>
      <w:bookmarkEnd w:id="6"/>
      <w:bookmarkEnd w:id="7"/>
    </w:p>
    <w:p w14:paraId="6D5CF871">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资格文件、技术服务文件、报价文件三部分内容合装订为一册或多册，</w:t>
      </w:r>
      <w:bookmarkStart w:id="8" w:name="_Toc183582226"/>
      <w:bookmarkStart w:id="9" w:name="_Toc183682363"/>
      <w:bookmarkStart w:id="10" w:name="_Toc77400781"/>
      <w:bookmarkStart w:id="11" w:name="_Toc89075877"/>
      <w:bookmarkStart w:id="12" w:name="_Toc308164803"/>
      <w:bookmarkStart w:id="13" w:name="_Toc217446053"/>
      <w:r>
        <w:rPr>
          <w:rFonts w:hint="eastAsia" w:ascii="仿宋_GB2312" w:hAnsi="仿宋_GB2312" w:eastAsia="仿宋_GB2312" w:cs="仿宋_GB2312"/>
          <w:kern w:val="0"/>
          <w:sz w:val="32"/>
          <w:szCs w:val="32"/>
          <w:lang w:bidi="ar"/>
        </w:rPr>
        <w:t>其中正本一份、副本一份。响应文件的正本和副本应在其封面右上角清楚地标明“正本”或“副本”字样，若正本和副本有不一致的内容，以正本为准。</w:t>
      </w:r>
    </w:p>
    <w:p w14:paraId="22B3EFE1">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bidi="ar"/>
        </w:rPr>
        <w:t>响应文件的正本需印制并按规定签字盖章。响应文件副本可印制并按规定签字盖章，也可采用正本的复印件。</w:t>
      </w:r>
    </w:p>
    <w:p w14:paraId="6C0642B5">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2.</w:t>
      </w:r>
      <w:r>
        <w:rPr>
          <w:rFonts w:hint="eastAsia" w:ascii="仿宋_GB2312" w:hAnsi="仿宋_GB2312" w:eastAsia="仿宋_GB2312" w:cs="仿宋_GB2312"/>
          <w:kern w:val="0"/>
          <w:sz w:val="32"/>
          <w:szCs w:val="32"/>
          <w:lang w:bidi="ar"/>
        </w:rPr>
        <w:t>响应文件的印制和书写应清楚工整，任何行间插字、涂改或增删，必须由参与单位的法定代表人(负责人)或其授权代表签字或盖个人印鉴。</w:t>
      </w:r>
    </w:p>
    <w:p w14:paraId="473A0DE5">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3.</w:t>
      </w:r>
      <w:r>
        <w:rPr>
          <w:rFonts w:hint="eastAsia" w:ascii="仿宋_GB2312" w:hAnsi="仿宋_GB2312" w:eastAsia="仿宋_GB2312" w:cs="仿宋_GB2312"/>
          <w:kern w:val="0"/>
          <w:sz w:val="32"/>
          <w:szCs w:val="32"/>
          <w:lang w:bidi="ar"/>
        </w:rPr>
        <w:t>响应文件正本和副本必须左侧装订成册并编码。</w:t>
      </w:r>
    </w:p>
    <w:p w14:paraId="1933D2A6">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4.</w:t>
      </w:r>
      <w:r>
        <w:rPr>
          <w:rFonts w:hint="eastAsia" w:ascii="仿宋_GB2312" w:hAnsi="仿宋_GB2312" w:eastAsia="仿宋_GB2312" w:cs="仿宋_GB2312"/>
          <w:kern w:val="0"/>
          <w:sz w:val="32"/>
          <w:szCs w:val="32"/>
          <w:lang w:bidi="ar"/>
        </w:rPr>
        <w:t>响应文件应根据竞争性谈判文件的要求制作，签署、盖章和内容应完整。</w:t>
      </w:r>
    </w:p>
    <w:p w14:paraId="040975E0">
      <w:pPr>
        <w:pageBreakBefore w:val="0"/>
        <w:kinsoku/>
        <w:wordWrap/>
        <w:overflowPunct/>
        <w:topLinePunct w:val="0"/>
        <w:bidi w:val="0"/>
        <w:adjustRightInd w:val="0"/>
        <w:snapToGrid w:val="0"/>
        <w:spacing w:line="600" w:lineRule="exact"/>
        <w:ind w:firstLine="640" w:firstLineChars="200"/>
        <w:rPr>
          <w:lang w:bidi="ar"/>
        </w:rPr>
      </w:pPr>
      <w:r>
        <w:rPr>
          <w:rFonts w:ascii="仿宋_GB2312" w:hAnsi="仿宋_GB2312" w:eastAsia="仿宋_GB2312" w:cs="仿宋_GB2312"/>
          <w:kern w:val="0"/>
          <w:sz w:val="32"/>
          <w:szCs w:val="32"/>
          <w:lang w:bidi="ar"/>
        </w:rPr>
        <w:t>5.</w:t>
      </w:r>
      <w:r>
        <w:rPr>
          <w:rFonts w:hint="eastAsia" w:ascii="仿宋_GB2312" w:hAnsi="仿宋_GB2312" w:eastAsia="仿宋_GB2312" w:cs="仿宋_GB2312"/>
          <w:kern w:val="0"/>
          <w:sz w:val="32"/>
          <w:szCs w:val="32"/>
          <w:lang w:bidi="ar"/>
        </w:rPr>
        <w:t>响应文件应统一用A4幅面纸印制。</w:t>
      </w:r>
    </w:p>
    <w:p w14:paraId="49148885">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响应文件的密封和标</w:t>
      </w:r>
      <w:bookmarkEnd w:id="8"/>
      <w:bookmarkEnd w:id="9"/>
      <w:bookmarkEnd w:id="10"/>
      <w:bookmarkEnd w:id="11"/>
      <w:r>
        <w:rPr>
          <w:rFonts w:hint="eastAsia" w:ascii="楷体_GB2312" w:hAnsi="仿宋_GB2312" w:eastAsia="楷体_GB2312" w:cs="仿宋_GB2312"/>
          <w:b/>
          <w:bCs/>
          <w:kern w:val="0"/>
          <w:sz w:val="32"/>
          <w:szCs w:val="32"/>
          <w:lang w:bidi="ar"/>
        </w:rPr>
        <w:t>注</w:t>
      </w:r>
      <w:bookmarkEnd w:id="12"/>
      <w:bookmarkEnd w:id="13"/>
    </w:p>
    <w:p w14:paraId="33C640CA">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bidi="ar"/>
        </w:rPr>
        <w:t>响应文件应密封在密封袋内，密封袋上注明参与单位名称、采购编号、项目名称及“响应文件”字样。</w:t>
      </w:r>
    </w:p>
    <w:p w14:paraId="57B0637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所有外层密封袋的封口处应密封，并加盖参与单位公章。</w:t>
      </w:r>
      <w:bookmarkStart w:id="14" w:name="_Toc183582227"/>
      <w:bookmarkStart w:id="15" w:name="_Toc183682364"/>
      <w:bookmarkStart w:id="16" w:name="_Toc308164804"/>
      <w:bookmarkStart w:id="17" w:name="_Toc217446054"/>
    </w:p>
    <w:p w14:paraId="24E5B802">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（三）</w:t>
      </w:r>
      <w:r>
        <w:rPr>
          <w:rFonts w:hint="eastAsia" w:ascii="楷体_GB2312" w:hAnsi="仿宋_GB2312" w:eastAsia="楷体_GB2312" w:cs="仿宋_GB2312"/>
          <w:b/>
          <w:bCs/>
          <w:kern w:val="0"/>
          <w:sz w:val="32"/>
          <w:szCs w:val="32"/>
          <w:lang w:bidi="ar"/>
        </w:rPr>
        <w:t>响应文件的</w:t>
      </w:r>
      <w:bookmarkEnd w:id="14"/>
      <w:bookmarkEnd w:id="15"/>
      <w:r>
        <w:rPr>
          <w:rFonts w:hint="eastAsia" w:ascii="楷体_GB2312" w:hAnsi="仿宋_GB2312" w:eastAsia="楷体_GB2312" w:cs="仿宋_GB2312"/>
          <w:b/>
          <w:bCs/>
          <w:kern w:val="0"/>
          <w:sz w:val="32"/>
          <w:szCs w:val="32"/>
          <w:lang w:bidi="ar"/>
        </w:rPr>
        <w:t>递交</w:t>
      </w:r>
      <w:bookmarkEnd w:id="16"/>
      <w:bookmarkEnd w:id="17"/>
    </w:p>
    <w:p w14:paraId="1BD0F966">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bookmarkStart w:id="18" w:name="_Toc183582228"/>
      <w:bookmarkStart w:id="19" w:name="_Toc183682365"/>
      <w:bookmarkStart w:id="20" w:name="_Toc217446055"/>
      <w:r>
        <w:rPr>
          <w:rFonts w:hint="eastAsia" w:ascii="仿宋_GB2312" w:hAnsi="仿宋_GB2312" w:eastAsia="仿宋_GB2312" w:cs="仿宋_GB2312"/>
          <w:sz w:val="32"/>
          <w:szCs w:val="32"/>
        </w:rPr>
        <w:t>参与单位应在竞争性谈判文件规定的递交响应文件时间</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将响应文件按竞争性谈判文件的规定密封后送达采购单位指定开标（谈判）地点。递交响应文件截止时间以后送达的响应文件将不予接收。采购单位在竞争性谈判文件规定时间内组织各参与单位及参加的有关人员签到，并接收参与单位递交的符合要求的响应文件。如参与单位递交的响应文件未按照竞争性谈判文件要求封装，单位有权拒收。</w:t>
      </w:r>
    </w:p>
    <w:p w14:paraId="3AFC7B46">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（四）</w:t>
      </w:r>
      <w:r>
        <w:rPr>
          <w:rFonts w:hint="eastAsia" w:ascii="楷体_GB2312" w:hAnsi="仿宋_GB2312" w:eastAsia="楷体_GB2312" w:cs="仿宋_GB2312"/>
          <w:b/>
          <w:bCs/>
          <w:kern w:val="0"/>
          <w:sz w:val="32"/>
          <w:szCs w:val="32"/>
          <w:lang w:bidi="ar"/>
        </w:rPr>
        <w:t>响应文件的修改和撤</w:t>
      </w:r>
      <w:bookmarkEnd w:id="18"/>
      <w:bookmarkEnd w:id="19"/>
      <w:r>
        <w:rPr>
          <w:rFonts w:hint="eastAsia" w:ascii="楷体_GB2312" w:hAnsi="仿宋_GB2312" w:eastAsia="楷体_GB2312" w:cs="仿宋_GB2312"/>
          <w:b/>
          <w:bCs/>
          <w:kern w:val="0"/>
          <w:sz w:val="32"/>
          <w:szCs w:val="32"/>
          <w:lang w:bidi="ar"/>
        </w:rPr>
        <w:t>回</w:t>
      </w:r>
      <w:bookmarkEnd w:id="20"/>
    </w:p>
    <w:p w14:paraId="0311EF45">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bookmarkStart w:id="21" w:name="_Toc183682368"/>
      <w:bookmarkStart w:id="22" w:name="_Toc183582231"/>
      <w:bookmarkStart w:id="23" w:name="_Toc77400782"/>
      <w:bookmarkStart w:id="24" w:name="_Toc89075878"/>
      <w:bookmarkStart w:id="25" w:name="_Toc217446056"/>
      <w:bookmarkStart w:id="26" w:name="_Toc308164805"/>
      <w:r>
        <w:rPr>
          <w:rFonts w:ascii="仿宋_GB2312" w:hAnsi="仿宋_GB2312" w:eastAsia="仿宋_GB2312" w:cs="仿宋_GB2312"/>
          <w:sz w:val="32"/>
          <w:szCs w:val="32"/>
        </w:rPr>
        <w:t>1.</w:t>
      </w:r>
      <w:r>
        <w:rPr>
          <w:rFonts w:hint="eastAsia" w:ascii="仿宋_GB2312" w:hAnsi="仿宋_GB2312" w:eastAsia="仿宋_GB2312" w:cs="仿宋_GB2312"/>
          <w:sz w:val="32"/>
          <w:szCs w:val="32"/>
        </w:rPr>
        <w:t>参与单位递交了响应文件后在规定的递交响应文件截止时间前，可以修改或撤回其响应文件，撤回其响应文件须向采购单位提出书面申请。</w:t>
      </w:r>
    </w:p>
    <w:p w14:paraId="6214DE71">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参与单位的撤回申请书，应由其法定代表人(负责人)或授权代表签署并盖单位公章。修改后的文件应按竞争性谈判文件相关规定进行密封和标注，并在密封袋上标注“修改”字样。</w:t>
      </w:r>
    </w:p>
    <w:p w14:paraId="55A66D9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修改后的文件递交截止时间为响应文件递交截止时间。</w:t>
      </w:r>
    </w:p>
    <w:p w14:paraId="6CC82BB3">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在递交响应文件截止时间之后，参与单位不得对其递交的响应文件作任何修改、撤回，否则，将按照有关规定进行相应处理。</w:t>
      </w:r>
    </w:p>
    <w:p w14:paraId="5641620B">
      <w:pPr>
        <w:pageBreakBefore w:val="0"/>
        <w:kinsoku/>
        <w:wordWrap/>
        <w:overflowPunct/>
        <w:topLinePunct w:val="0"/>
        <w:bidi w:val="0"/>
        <w:adjustRightInd w:val="0"/>
        <w:snapToGrid w:val="0"/>
        <w:spacing w:line="600" w:lineRule="exact"/>
        <w:ind w:firstLine="640" w:firstLineChars="200"/>
        <w:rPr>
          <w:rFonts w:hint="eastAsia" w:ascii="黑体" w:hAnsi="黑体" w:eastAsia="黑体" w:cs="黑体"/>
          <w:kern w:val="0"/>
          <w:sz w:val="32"/>
          <w:szCs w:val="32"/>
          <w:lang w:bidi="ar"/>
        </w:rPr>
      </w:pPr>
      <w:bookmarkStart w:id="27" w:name="_Toc18228"/>
      <w:bookmarkStart w:id="28" w:name="_Toc518487350"/>
      <w:r>
        <w:rPr>
          <w:rFonts w:hint="eastAsia" w:ascii="黑体" w:hAnsi="黑体" w:eastAsia="黑体" w:cs="黑体"/>
          <w:kern w:val="0"/>
          <w:sz w:val="32"/>
          <w:szCs w:val="32"/>
          <w:lang w:bidi="ar"/>
        </w:rPr>
        <w:t>三、</w:t>
      </w:r>
      <w:bookmarkEnd w:id="21"/>
      <w:bookmarkEnd w:id="22"/>
      <w:bookmarkEnd w:id="23"/>
      <w:bookmarkEnd w:id="24"/>
      <w:bookmarkEnd w:id="25"/>
      <w:bookmarkEnd w:id="26"/>
      <w:r>
        <w:rPr>
          <w:rFonts w:hint="eastAsia" w:ascii="黑体" w:hAnsi="黑体" w:eastAsia="黑体" w:cs="黑体"/>
          <w:kern w:val="0"/>
          <w:sz w:val="32"/>
          <w:szCs w:val="32"/>
          <w:lang w:bidi="ar"/>
        </w:rPr>
        <w:t>谈判评审程序</w:t>
      </w:r>
      <w:bookmarkEnd w:id="27"/>
      <w:bookmarkEnd w:id="28"/>
    </w:p>
    <w:p w14:paraId="255B2F1E">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（一）</w:t>
      </w:r>
      <w:r>
        <w:rPr>
          <w:rFonts w:hint="eastAsia" w:ascii="楷体_GB2312" w:hAnsi="仿宋_GB2312" w:eastAsia="楷体_GB2312" w:cs="仿宋_GB2312"/>
          <w:b/>
          <w:bCs/>
          <w:kern w:val="0"/>
          <w:sz w:val="32"/>
          <w:szCs w:val="32"/>
          <w:lang w:bidi="ar"/>
        </w:rPr>
        <w:t>谈判前准备</w:t>
      </w:r>
    </w:p>
    <w:p w14:paraId="362B53B0">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采购单位根据参与单位递交响应文件情况组建本项目谈判小组。</w:t>
      </w:r>
    </w:p>
    <w:p w14:paraId="37364CD9">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谈判评审程序</w:t>
      </w:r>
    </w:p>
    <w:p w14:paraId="392EE65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谈判小组对参与单位的资格性响应文件按照谈判文件要求进行资格审查并出具资格审查报告。</w:t>
      </w:r>
    </w:p>
    <w:p w14:paraId="57486D34">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谈判小组对通过资格审查的参与单位的技术服务响应文件根据谈判相关内容进行符合性审查。</w:t>
      </w:r>
    </w:p>
    <w:p w14:paraId="1092418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谈判小组按照谈判文件的规定分别与通过以上两项审查的参与单位进行谈判。</w:t>
      </w:r>
    </w:p>
    <w:p w14:paraId="55E99A02">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谈判中采购需求有变更的，参与单位应对变更后的实质性内容作出响应，变更补充材料作为递交的技术响应文件的组成部分。</w:t>
      </w:r>
    </w:p>
    <w:p w14:paraId="7DC62C1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谈判小组再次对技术服务响应文件进行审查。</w:t>
      </w:r>
    </w:p>
    <w:p w14:paraId="36978298">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采购单位工作人员组织通过以上审查的参与单位作出最终报价。</w:t>
      </w:r>
    </w:p>
    <w:p w14:paraId="6D79D942">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（三）</w:t>
      </w:r>
      <w:r>
        <w:rPr>
          <w:rFonts w:hint="eastAsia" w:ascii="楷体_GB2312" w:hAnsi="仿宋_GB2312" w:eastAsia="楷体_GB2312" w:cs="仿宋_GB2312"/>
          <w:b/>
          <w:bCs/>
          <w:kern w:val="0"/>
          <w:sz w:val="32"/>
          <w:szCs w:val="32"/>
          <w:lang w:bidi="ar"/>
        </w:rPr>
        <w:t>谈判</w:t>
      </w:r>
    </w:p>
    <w:p w14:paraId="7690A339">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通过技术服务文件符合性（形式性）审查的参与单位进入谈判程序。谈判小组所有成员应当集中与单一参与单位分别进行谈判，并给予所有参加谈判的参与单位平等的谈判机会。谈判过程中，谈判小组可以根据谈判情况调整轮次；</w:t>
      </w:r>
    </w:p>
    <w:p w14:paraId="25D2B16D">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谈判的顺序以签到的任意顺序依次进行；</w:t>
      </w:r>
    </w:p>
    <w:p w14:paraId="1EED75D8">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谈判内容主要包括：技术、服务要求、设计理念、设计效果等。参与单位依托相应媒介进行陈述与讲解，谈判小组与参与单位的谈判过程应当予以书面记录；</w:t>
      </w:r>
    </w:p>
    <w:p w14:paraId="16CEB1B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谈判小组可以根据谈判文件，视谈判情况实质性变动采购需求中的技术、服务要求以及合同草案条款，但不得变动采购文件中的其他内容，实质性变动的内容，须经谈判小组的采购代表确认，并将实质性变动的内容予以书面记录；</w:t>
      </w:r>
    </w:p>
    <w:p w14:paraId="12858A70">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谈判小组应当将变动的内容书面通知参加谈判的参与单位，参与单位根据变更内容，更改或补充其技术服务文件，并将变更内容形成书面材料送谈判小组。参与单位变更书面材料应当由法定代表人或者授权代表签字确认；参与单位为其他组织的，由其主要负责人或者授权代表签字确认。有效的变更响应文件应作为技术服务响应文件的一部分；</w:t>
      </w:r>
    </w:p>
    <w:p w14:paraId="281C97F2">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谈判小组根据谈判文件相关规定对参与单位技术服务文件进行审查，参与单位的响应文件未实质性响应谈判文件（含谈判小组变更的内容），谈判小组对其响应文件按无效处理，并告知参与单位，说明理由；</w:t>
      </w:r>
    </w:p>
    <w:p w14:paraId="6BFDEDA9">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已提交响应文件的参与单位，在谈判过程中若无实质性变动的内容，不得退出谈判采购活动；在谈判过程中若有实质性变动的内容，在重新提交最后报价之前可以根据谈判情况退出谈判采购活动。</w:t>
      </w:r>
    </w:p>
    <w:p w14:paraId="079368EE">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（四）</w:t>
      </w:r>
      <w:r>
        <w:rPr>
          <w:rFonts w:hint="eastAsia" w:ascii="楷体_GB2312" w:hAnsi="仿宋_GB2312" w:eastAsia="楷体_GB2312" w:cs="仿宋_GB2312"/>
          <w:b/>
          <w:bCs/>
          <w:kern w:val="0"/>
          <w:sz w:val="32"/>
          <w:szCs w:val="32"/>
          <w:lang w:bidi="ar"/>
        </w:rPr>
        <w:t>报价</w:t>
      </w:r>
    </w:p>
    <w:p w14:paraId="3D2D21B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谈判结束后，除经谈判引起实质性变动改变采购需求等导致成本增加的需组织二次报价的外（不得高于最高预算限价，</w:t>
      </w:r>
      <w:r>
        <w:rPr>
          <w:rFonts w:hint="eastAsia" w:ascii="仿宋_GB2312" w:hAnsi="仿宋_GB2312" w:eastAsia="仿宋_GB2312" w:cs="仿宋_GB2312"/>
          <w:color w:val="4472C4" w:themeColor="accent1"/>
          <w:sz w:val="32"/>
          <w:szCs w:val="32"/>
          <w14:textFill>
            <w14:solidFill>
              <w14:schemeClr w14:val="accent1"/>
            </w14:solidFill>
          </w14:textFill>
        </w:rPr>
        <w:t>也不高于一次报价</w:t>
      </w:r>
      <w:r>
        <w:rPr>
          <w:rFonts w:hint="eastAsia" w:ascii="仿宋_GB2312" w:hAnsi="仿宋_GB2312" w:eastAsia="仿宋_GB2312" w:cs="仿宋_GB2312"/>
          <w:sz w:val="32"/>
          <w:szCs w:val="32"/>
        </w:rPr>
        <w:t>），否则，不再现场单独组织二轮报价。参与单位的报价是参与单位响应采购项目要求的全部工作内容的价格体现，包括参与单位完成本项目所需的一切费用；</w:t>
      </w:r>
    </w:p>
    <w:p w14:paraId="0774411B">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本项目为一次性报价即最终报价，参与单位事先在响应文件报出最终报价。报价文件（表）应当有法定代表人或者授权代表签字确认或者加盖公章，否则报价无效。</w:t>
      </w:r>
    </w:p>
    <w:p w14:paraId="1C7FA379">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3.报价</w:t>
      </w:r>
      <w:r>
        <w:rPr>
          <w:rFonts w:hint="eastAsia" w:ascii="仿宋_GB2312" w:hAnsi="仿宋_GB2312" w:eastAsia="仿宋_GB2312" w:cs="仿宋_GB2312"/>
          <w:sz w:val="32"/>
          <w:szCs w:val="32"/>
        </w:rPr>
        <w:t>低于项目</w:t>
      </w:r>
      <w:r>
        <w:rPr>
          <w:rFonts w:ascii="仿宋_GB2312" w:hAnsi="仿宋_GB2312" w:eastAsia="仿宋_GB2312" w:cs="仿宋_GB2312"/>
          <w:sz w:val="32"/>
          <w:szCs w:val="32"/>
        </w:rPr>
        <w:t>最高限</w:t>
      </w:r>
      <w:r>
        <w:rPr>
          <w:rFonts w:eastAsia="仿宋_GB2312" w:cs="仿宋_GB2312" w:asciiTheme="minorHAnsi" w:hAnsiTheme="minorHAnsi"/>
          <w:sz w:val="32"/>
          <w:szCs w:val="32"/>
        </w:rPr>
        <w:t>价的</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w:t>
      </w:r>
      <w:r>
        <w:rPr>
          <w:rFonts w:eastAsia="仿宋_GB2312" w:cs="仿宋_GB2312" w:asciiTheme="minorHAnsi" w:hAnsiTheme="minorHAnsi"/>
          <w:sz w:val="32"/>
          <w:szCs w:val="32"/>
        </w:rPr>
        <w:t>的，</w:t>
      </w:r>
      <w:r>
        <w:rPr>
          <w:rFonts w:ascii="仿宋_GB2312" w:hAnsi="仿宋_GB2312" w:eastAsia="仿宋_GB2312" w:cs="仿宋_GB2312"/>
          <w:sz w:val="32"/>
          <w:szCs w:val="32"/>
        </w:rPr>
        <w:t>有可能影响产品</w:t>
      </w:r>
      <w:r>
        <w:rPr>
          <w:rFonts w:eastAsia="仿宋_GB2312" w:cs="仿宋_GB2312" w:asciiTheme="minorHAnsi" w:hAnsiTheme="minorHAnsi"/>
          <w:sz w:val="32"/>
          <w:szCs w:val="32"/>
        </w:rPr>
        <w:t>或服务</w:t>
      </w:r>
      <w:r>
        <w:rPr>
          <w:rFonts w:ascii="仿宋_GB2312" w:hAnsi="仿宋_GB2312" w:eastAsia="仿宋_GB2312" w:cs="仿宋_GB2312"/>
          <w:sz w:val="32"/>
          <w:szCs w:val="32"/>
        </w:rPr>
        <w:t>质量或者不能诚信履约的，</w:t>
      </w:r>
      <w:r>
        <w:rPr>
          <w:rFonts w:hint="eastAsia" w:ascii="仿宋_GB2312" w:hAnsi="仿宋_GB2312" w:eastAsia="仿宋_GB2312" w:cs="仿宋_GB2312"/>
          <w:sz w:val="32"/>
          <w:szCs w:val="32"/>
        </w:rPr>
        <w:t>须在</w:t>
      </w:r>
      <w:r>
        <w:rPr>
          <w:rFonts w:ascii="仿宋_GB2312" w:hAnsi="仿宋_GB2312" w:eastAsia="仿宋_GB2312" w:cs="仿宋_GB2312"/>
          <w:sz w:val="32"/>
          <w:szCs w:val="32"/>
        </w:rPr>
        <w:t>评审现场合理的时间按照国家财务会计制度的规定要求提供成本构成书面说明，并提交相关证明材料。书面说明应当就报价人提供的货物、工程和服务的主营业务成本、税金及附加、销售费用、管理费用、财务费用等成本构成事项</w:t>
      </w:r>
      <w:r>
        <w:rPr>
          <w:rFonts w:eastAsia="仿宋_GB2312" w:cs="仿宋_GB2312" w:asciiTheme="minorHAnsi" w:hAnsiTheme="minorHAnsi"/>
          <w:sz w:val="32"/>
          <w:szCs w:val="32"/>
        </w:rPr>
        <w:t>作</w:t>
      </w:r>
      <w:r>
        <w:rPr>
          <w:rFonts w:ascii="仿宋_GB2312" w:hAnsi="仿宋_GB2312" w:eastAsia="仿宋_GB2312" w:cs="仿宋_GB2312"/>
          <w:sz w:val="32"/>
          <w:szCs w:val="32"/>
        </w:rPr>
        <w:t>详细陈述。报价人书面说明应当由授权代表签字确认或者</w:t>
      </w:r>
      <w:r>
        <w:rPr>
          <w:rFonts w:ascii="仿宋_GB2312" w:hAnsi="宋体" w:eastAsia="仿宋_GB2312"/>
          <w:sz w:val="32"/>
          <w:szCs w:val="32"/>
        </w:rPr>
        <w:t>加盖公章，否则无效。报价人不能证明其报价合理性的，</w:t>
      </w:r>
      <w:r>
        <w:rPr>
          <w:rFonts w:hint="eastAsia" w:ascii="仿宋_GB2312" w:hAnsi="宋体" w:eastAsia="仿宋_GB2312"/>
          <w:sz w:val="32"/>
          <w:szCs w:val="32"/>
        </w:rPr>
        <w:t>评标</w:t>
      </w:r>
      <w:r>
        <w:rPr>
          <w:rFonts w:ascii="仿宋_GB2312" w:hAnsi="宋体" w:eastAsia="仿宋_GB2312"/>
          <w:sz w:val="32"/>
          <w:szCs w:val="32"/>
        </w:rPr>
        <w:t>小组应当将其作为无效响应文件处理。</w:t>
      </w:r>
    </w:p>
    <w:p w14:paraId="11F25C70">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报价修正情形：</w:t>
      </w:r>
    </w:p>
    <w:p w14:paraId="19D0EDEF">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报价文件的大写金额和小写金额不一致的，以大写金额为准，但大写金额出现文字错误，导致金额无法判断的除外；</w:t>
      </w:r>
    </w:p>
    <w:p w14:paraId="7F44BAF8">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总价金额与按单价汇总金额不一致的，以单价汇总金额计算结果为准，但是单价金额出现计算错误、明显人为工作失误的除外；</w:t>
      </w:r>
    </w:p>
    <w:p w14:paraId="0AC5B16F">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单价金额小数点有明显错位的，应以总价为准，并修改单价；</w:t>
      </w:r>
    </w:p>
    <w:p w14:paraId="5D34B42F">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对不同语言文本响应文件的解释发生异议的，以中文文本为准；</w:t>
      </w:r>
    </w:p>
    <w:p w14:paraId="49F14624">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汇总金额比总价金额高，且超过采购预算或者本项目最高限价的，参与单位响应文件应作为无效处理；单价汇总金额比总价金额高，但未超过采购预算或者本项目最高限价的，应以单价汇总金额作为价格评分依据。</w:t>
      </w:r>
    </w:p>
    <w:p w14:paraId="481CAF77">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bookmarkStart w:id="29" w:name="_Toc183682375"/>
      <w:bookmarkStart w:id="30" w:name="_Toc183582238"/>
      <w:bookmarkStart w:id="31" w:name="_Toc308164809"/>
      <w:bookmarkStart w:id="32" w:name="_Toc217446063"/>
      <w:r>
        <w:rPr>
          <w:rFonts w:ascii="楷体_GB2312" w:hAnsi="仿宋_GB2312" w:eastAsia="楷体_GB2312" w:cs="仿宋_GB2312"/>
          <w:b/>
          <w:bCs/>
          <w:kern w:val="0"/>
          <w:sz w:val="32"/>
          <w:szCs w:val="32"/>
          <w:lang w:bidi="ar"/>
        </w:rPr>
        <w:t>（五）</w:t>
      </w:r>
      <w:r>
        <w:rPr>
          <w:rFonts w:hint="eastAsia" w:ascii="楷体_GB2312" w:hAnsi="仿宋_GB2312" w:eastAsia="楷体_GB2312" w:cs="仿宋_GB2312"/>
          <w:b/>
          <w:bCs/>
          <w:kern w:val="0"/>
          <w:sz w:val="32"/>
          <w:szCs w:val="32"/>
          <w:lang w:bidi="ar"/>
        </w:rPr>
        <w:t>谈判小组复核和出具评审报告</w:t>
      </w:r>
    </w:p>
    <w:p w14:paraId="0F8440A6">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谈判小组在审查参与单位响应文件中如出现参加或通过审查的参与单位不足3家的情况，若仍需继续进行谈判的，应符合财政部规定的可以2家的情形之规定。</w:t>
      </w:r>
    </w:p>
    <w:p w14:paraId="5FB0E0AB">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比较与评价。按谈判文件中规定的评审方法和标准，对未作无效处理的响应文件进行技术、服务、商务等方面评估，综合比较与评价。</w:t>
      </w:r>
    </w:p>
    <w:p w14:paraId="1FA7DB16">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复核。评分汇总结束后，谈判小组应当进行复核，特别要对拟推荐为成交候选参与单位的、报价最低的、响应文件被认定为无效的进行重点复核。</w:t>
      </w:r>
    </w:p>
    <w:p w14:paraId="058CA21A">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推荐成交候选参与单位。竞争性谈判结束后，谈判小组按照报价由低到高的顺序推荐3名成交候选参与单位。</w:t>
      </w:r>
    </w:p>
    <w:p w14:paraId="7F338161">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出具谈判报告。谈判小组推荐成交候选参与单位后，应当向采购单位出具谈判报告。谈判小组成员应当在谈判报告中签字确认，对评审过程和结果有不同意见的，应当在谈判报告中写明并说明理由。签字但不写明不同意见或者不说明理由的，视同无意见。拒不签字又不另行书面说明其不同意见和理由的，视同同意谈判结果。</w:t>
      </w:r>
    </w:p>
    <w:p w14:paraId="75F76072">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评审争议处理规则。谈判小组成员在评审过程中，对于资格性检查、符合性检查、对参与单位响应文件做无效处理等需要共同认定的事项存在争议的，应当以少数服从多数的原则处理，但不得违背法律法规和谈判文件规定。有不同意见的谈判小组成员认为认定过程和结果不符合谈判文件规定的，应当及时向采购单位书面反映。</w:t>
      </w:r>
    </w:p>
    <w:p w14:paraId="2E3BD925">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（六）</w:t>
      </w:r>
      <w:r>
        <w:rPr>
          <w:rFonts w:hint="eastAsia" w:ascii="楷体_GB2312" w:hAnsi="仿宋_GB2312" w:eastAsia="楷体_GB2312" w:cs="仿宋_GB2312"/>
          <w:b/>
          <w:bCs/>
          <w:kern w:val="0"/>
          <w:sz w:val="32"/>
          <w:szCs w:val="32"/>
          <w:lang w:bidi="ar"/>
        </w:rPr>
        <w:t>采购单位现场复核评审结果</w:t>
      </w:r>
    </w:p>
    <w:p w14:paraId="583BB183">
      <w:pPr>
        <w:pageBreakBefore w:val="0"/>
        <w:kinsoku/>
        <w:wordWrap/>
        <w:overflowPunct/>
        <w:topLinePunct w:val="0"/>
        <w:bidi w:val="0"/>
        <w:adjustRightInd w:val="0"/>
        <w:snapToGrid w:val="0"/>
        <w:spacing w:line="600" w:lineRule="exact"/>
        <w:ind w:firstLine="640" w:firstLineChars="200"/>
        <w:rPr>
          <w:rFonts w:hint="eastAsia" w:eastAsia="仿宋_GB2312" w:cs="仿宋_GB2312" w:asciiTheme="minorHAnsi" w:hAnsiTheme="minorHAnsi"/>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评审结果汇总完成后，谈判小组拟出具谈判报告前，采购单位应当及时依据谈判文件对评审结果进行复核，存在下列情形之一的，应当根据情况要求谈判小组现场修改评审结果或者重新评审：</w:t>
      </w:r>
    </w:p>
    <w:p w14:paraId="4906314A">
      <w:pPr>
        <w:pageBreakBefore w:val="0"/>
        <w:kinsoku/>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资格性检查、符合性检查认定错误的；</w:t>
      </w:r>
    </w:p>
    <w:p w14:paraId="0D9DBD5A">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存在本条上述情形的，谈判小组应当按照规定现场修改评审结果或者重新评审，重新出具谈判报告，并在评审报告中详细记载有关事宜。原有的评审报告自动无效，但应当留存归档。</w:t>
      </w:r>
    </w:p>
    <w:p w14:paraId="7775D486">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(2)采购单位复核过程中，谈判小组成员不得离开评审现场。</w:t>
      </w:r>
    </w:p>
    <w:p w14:paraId="7E6706AC">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存在本条规定情形，采购单位现场复核工作人员要求谈判小组成员现场修改谈判结果或者重新评审，谈判小组拒不修改谈判结果或者重新评审的，采购单位不得发放评审报酬，并及时书面报告采购项目同级财政部门依法处理，采购活动中止进行。</w:t>
      </w:r>
    </w:p>
    <w:p w14:paraId="5177E733">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bookmarkStart w:id="33" w:name="_Toc217446061"/>
      <w:r>
        <w:rPr>
          <w:rFonts w:ascii="楷体_GB2312" w:hAnsi="仿宋_GB2312" w:eastAsia="楷体_GB2312" w:cs="仿宋_GB2312"/>
          <w:b/>
          <w:bCs/>
          <w:kern w:val="0"/>
          <w:sz w:val="32"/>
          <w:szCs w:val="32"/>
          <w:lang w:bidi="ar"/>
        </w:rPr>
        <w:t>（七）</w:t>
      </w:r>
      <w:r>
        <w:rPr>
          <w:rFonts w:hint="eastAsia" w:ascii="楷体_GB2312" w:hAnsi="仿宋_GB2312" w:eastAsia="楷体_GB2312" w:cs="仿宋_GB2312"/>
          <w:b/>
          <w:bCs/>
          <w:kern w:val="0"/>
          <w:sz w:val="32"/>
          <w:szCs w:val="32"/>
          <w:lang w:bidi="ar"/>
        </w:rPr>
        <w:t>确定成交人</w:t>
      </w:r>
    </w:p>
    <w:bookmarkEnd w:id="33"/>
    <w:p w14:paraId="52E7D8A8">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本项目根据谈判小组推荐的成交候选人名单，按顺序确定成交人。</w:t>
      </w:r>
      <w:r>
        <w:rPr>
          <w:rFonts w:ascii="仿宋_GB2312" w:hAnsi="仿宋_GB2312" w:eastAsia="仿宋_GB2312" w:cs="仿宋_GB2312"/>
          <w:sz w:val="32"/>
          <w:szCs w:val="32"/>
        </w:rPr>
        <w:t>当</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商的最低评标价相同时，处理方式：</w:t>
      </w:r>
    </w:p>
    <w:p w14:paraId="236F870A">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进行二次报价：要求</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商进行二次报价</w:t>
      </w:r>
      <w:r>
        <w:rPr>
          <w:rFonts w:hint="eastAsia" w:ascii="仿宋_GB2312" w:hAnsi="仿宋_GB2312" w:eastAsia="仿宋_GB2312" w:cs="仿宋_GB2312"/>
          <w:sz w:val="32"/>
          <w:szCs w:val="32"/>
        </w:rPr>
        <w:t>（不高于第一次报价）</w:t>
      </w:r>
      <w:r>
        <w:rPr>
          <w:rFonts w:ascii="仿宋_GB2312" w:hAnsi="仿宋_GB2312" w:eastAsia="仿宋_GB2312" w:cs="仿宋_GB2312"/>
          <w:sz w:val="32"/>
          <w:szCs w:val="32"/>
        </w:rPr>
        <w:t>，以进一步比较和确定中标</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w:t>
      </w:r>
    </w:p>
    <w:p w14:paraId="089C5497">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随机抽取：可通过最低评标价相同的</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商中随机抽取的方式来选择中标</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w:t>
      </w:r>
    </w:p>
    <w:p w14:paraId="527A069D">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（八）</w:t>
      </w:r>
      <w:r>
        <w:rPr>
          <w:rFonts w:hint="eastAsia" w:ascii="楷体_GB2312" w:hAnsi="仿宋_GB2312" w:eastAsia="楷体_GB2312" w:cs="仿宋_GB2312"/>
          <w:b/>
          <w:bCs/>
          <w:kern w:val="0"/>
          <w:sz w:val="32"/>
          <w:szCs w:val="32"/>
          <w:lang w:bidi="ar"/>
        </w:rPr>
        <w:t>评审情况公告（告知）</w:t>
      </w:r>
    </w:p>
    <w:p w14:paraId="2E5C8895">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现场书面告</w:t>
      </w:r>
      <w:r>
        <w:rPr>
          <w:rFonts w:eastAsia="仿宋_GB2312" w:cs="仿宋_GB2312" w:asciiTheme="minorHAnsi" w:hAnsiTheme="minorHAnsi"/>
          <w:sz w:val="32"/>
          <w:szCs w:val="32"/>
        </w:rPr>
        <w:t>知</w:t>
      </w:r>
      <w:r>
        <w:rPr>
          <w:rFonts w:hint="eastAsia" w:ascii="仿宋_GB2312" w:hAnsi="仿宋_GB2312" w:eastAsia="仿宋_GB2312" w:cs="仿宋_GB2312"/>
          <w:sz w:val="32"/>
          <w:szCs w:val="32"/>
        </w:rPr>
        <w:t>。</w:t>
      </w:r>
    </w:p>
    <w:p w14:paraId="2EF083E9">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（九）</w:t>
      </w:r>
      <w:r>
        <w:rPr>
          <w:rFonts w:hint="eastAsia" w:ascii="楷体_GB2312" w:hAnsi="仿宋_GB2312" w:eastAsia="楷体_GB2312" w:cs="仿宋_GB2312"/>
          <w:b/>
          <w:bCs/>
          <w:kern w:val="0"/>
          <w:sz w:val="32"/>
          <w:szCs w:val="32"/>
          <w:lang w:bidi="ar"/>
        </w:rPr>
        <w:t>成交通知</w:t>
      </w:r>
      <w:bookmarkEnd w:id="29"/>
      <w:bookmarkEnd w:id="30"/>
      <w:r>
        <w:rPr>
          <w:rFonts w:hint="eastAsia" w:ascii="楷体_GB2312" w:hAnsi="仿宋_GB2312" w:eastAsia="楷体_GB2312" w:cs="仿宋_GB2312"/>
          <w:b/>
          <w:bCs/>
          <w:kern w:val="0"/>
          <w:sz w:val="32"/>
          <w:szCs w:val="32"/>
          <w:lang w:bidi="ar"/>
        </w:rPr>
        <w:t>书</w:t>
      </w:r>
      <w:bookmarkEnd w:id="31"/>
      <w:bookmarkEnd w:id="32"/>
    </w:p>
    <w:p w14:paraId="5C015BEF">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成交通知书为签订政府采购合同的依据之一，是合同的有效组成部分。</w:t>
      </w:r>
    </w:p>
    <w:p w14:paraId="3B30B4F2">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成交单位须在成交结果公告（告知）公示结束（公示期为一个工作日）在签订采购合同前按相关规定到采购单位领取成交通知书，逾期未领取的，视为成交单位已领取或已收到成交通知书。</w:t>
      </w:r>
    </w:p>
    <w:p w14:paraId="569A6893">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成交单位的响应文件本应作为无效处理或者有采购法律法规规章制度规定的成交无效情形的，采购单位在取得有权主体的认定以后，将宣布发出的成交通知书无效，并收回发出的成交通知书（成交单位应当退回），依法重新确定成交单位或者重新开展采购活动。</w:t>
      </w:r>
    </w:p>
    <w:p w14:paraId="7CAAC63C">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成交通知书对采购人和成交单位均具有法律效力。成交通知书发出后，采购人改变评审结果，或者成交单位无正当理由放弃成交的，应当承担相应的法律责任。</w:t>
      </w:r>
    </w:p>
    <w:p w14:paraId="3E83EF26">
      <w:pPr>
        <w:pageBreakBefore w:val="0"/>
        <w:kinsoku/>
        <w:wordWrap/>
        <w:overflowPunct/>
        <w:topLinePunct w:val="0"/>
        <w:bidi w:val="0"/>
        <w:adjustRightInd w:val="0"/>
        <w:snapToGrid w:val="0"/>
        <w:spacing w:line="600" w:lineRule="exact"/>
        <w:ind w:firstLine="640" w:firstLineChars="200"/>
        <w:rPr>
          <w:rFonts w:hint="eastAsia" w:ascii="黑体" w:hAnsi="黑体" w:eastAsia="黑体" w:cs="黑体"/>
          <w:kern w:val="0"/>
          <w:sz w:val="32"/>
          <w:szCs w:val="32"/>
          <w:lang w:bidi="ar"/>
        </w:rPr>
      </w:pPr>
      <w:bookmarkStart w:id="34" w:name="_Toc518487351"/>
      <w:bookmarkStart w:id="35" w:name="_Toc308164810"/>
      <w:bookmarkStart w:id="36" w:name="_Toc217446064"/>
      <w:bookmarkStart w:id="37" w:name="_Toc32202"/>
      <w:bookmarkStart w:id="38" w:name="_Toc183682377"/>
      <w:bookmarkStart w:id="39" w:name="_Toc183582240"/>
      <w:r>
        <w:rPr>
          <w:rFonts w:hint="eastAsia" w:ascii="黑体" w:hAnsi="黑体" w:eastAsia="黑体" w:cs="黑体"/>
          <w:kern w:val="0"/>
          <w:sz w:val="32"/>
          <w:szCs w:val="32"/>
          <w:lang w:bidi="ar"/>
        </w:rPr>
        <w:t>四、签订及履行合同和验收</w:t>
      </w:r>
      <w:bookmarkEnd w:id="34"/>
      <w:bookmarkEnd w:id="35"/>
      <w:bookmarkEnd w:id="36"/>
      <w:bookmarkEnd w:id="37"/>
    </w:p>
    <w:p w14:paraId="667A4850">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bookmarkStart w:id="40" w:name="_Toc308164811"/>
      <w:bookmarkStart w:id="41" w:name="_Toc217446065"/>
      <w:r>
        <w:rPr>
          <w:rFonts w:ascii="楷体_GB2312" w:hAnsi="仿宋_GB2312" w:eastAsia="楷体_GB2312" w:cs="仿宋_GB2312"/>
          <w:b/>
          <w:bCs/>
          <w:kern w:val="0"/>
          <w:sz w:val="32"/>
          <w:szCs w:val="32"/>
          <w:lang w:bidi="ar"/>
        </w:rPr>
        <w:t>（一）</w:t>
      </w:r>
      <w:r>
        <w:rPr>
          <w:rFonts w:hint="eastAsia" w:ascii="楷体_GB2312" w:hAnsi="仿宋_GB2312" w:eastAsia="楷体_GB2312" w:cs="仿宋_GB2312"/>
          <w:b/>
          <w:bCs/>
          <w:kern w:val="0"/>
          <w:sz w:val="32"/>
          <w:szCs w:val="32"/>
          <w:lang w:bidi="ar"/>
        </w:rPr>
        <w:t>签订合同</w:t>
      </w:r>
      <w:bookmarkEnd w:id="40"/>
      <w:bookmarkEnd w:id="41"/>
    </w:p>
    <w:p w14:paraId="7C351826">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成交单位应在本谈判文件规定的时间内与采购人签订服务合同，最长不得超过法定5日。由于成交单位的原因逾期未与服务商签订服务合同的，将视为放弃成交，取消其成交资格并将按相关规定向上级主管部门汇报进行处理。采购人有权决定顺延名或重新进行竞争性谈判确定服务商。</w:t>
      </w:r>
    </w:p>
    <w:p w14:paraId="1BEC6A02">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采购人不得向成交单位提出任何不合理的要求，作为签订合同的条件，不得与成交单位私下订立背离合同实质性内容的任何协议，所签订的合同不得对竞争性谈判文件和响应文件确定的事项进行修改。</w:t>
      </w:r>
    </w:p>
    <w:p w14:paraId="57ABA079">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合同分包</w:t>
      </w:r>
    </w:p>
    <w:p w14:paraId="6E382250">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经采购人同意，成交单位可以依法采取分包方式履行合同。这种要求应当在合同签订之前征得采购人同意，并且分包参与单位履行的分包项目的技术要求等，必须与成交的一致；</w:t>
      </w:r>
    </w:p>
    <w:p w14:paraId="7A894787">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分包履行合同的部分应当为采购项目的非主体、非关键性部分，不属于成交单位的主要合同义务；</w:t>
      </w:r>
    </w:p>
    <w:p w14:paraId="7F89F89B">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采购合同实行分包履行的，成交人就采购项目和分包项目向采购人负责，分包参与单位就分包项目承担责任；</w:t>
      </w:r>
    </w:p>
    <w:p w14:paraId="6B13482B">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中小企业依据《政府采购促进中小企业发展管理办法》（财库﹝2020﹞46 号）规定的政策获取政府采购合同后，小型、微型企业不得分包或转包给大型、中型企业，中型企业不得分包或转包给大型企业。</w:t>
      </w:r>
    </w:p>
    <w:p w14:paraId="5DC48F2F">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参与单位拟在成交后将项目的非主体、非关键性部分交由他人分包完成的，应当在响应文件中载明。</w:t>
      </w:r>
    </w:p>
    <w:p w14:paraId="58B5D7C3">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（三）</w:t>
      </w:r>
      <w:r>
        <w:rPr>
          <w:rFonts w:hint="eastAsia" w:ascii="楷体_GB2312" w:hAnsi="仿宋_GB2312" w:eastAsia="楷体_GB2312" w:cs="仿宋_GB2312"/>
          <w:b/>
          <w:bCs/>
          <w:kern w:val="0"/>
          <w:sz w:val="32"/>
          <w:szCs w:val="32"/>
          <w:lang w:bidi="ar"/>
        </w:rPr>
        <w:t>合同转包</w:t>
      </w:r>
    </w:p>
    <w:p w14:paraId="53233DF0">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采购项目严禁成交单位将任何采购合同转包。本项目所称转包，是指成交单位将采购合同义务转让给第三人，并退出现有采购合同当事人双方的权利义务关系，受让人（即第三人）成为采购合同的另一方当事人的行为。成交单位转包的，视同拒绝履行采购合同义务，将依法追究法律责任。</w:t>
      </w:r>
    </w:p>
    <w:p w14:paraId="0A0C01D3">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bookmarkStart w:id="42" w:name="_Toc308164812"/>
      <w:bookmarkStart w:id="43" w:name="_Toc217446068"/>
      <w:r>
        <w:rPr>
          <w:rFonts w:ascii="楷体_GB2312" w:hAnsi="仿宋_GB2312" w:eastAsia="楷体_GB2312" w:cs="仿宋_GB2312"/>
          <w:b/>
          <w:bCs/>
          <w:kern w:val="0"/>
          <w:sz w:val="32"/>
          <w:szCs w:val="32"/>
          <w:lang w:bidi="ar"/>
        </w:rPr>
        <w:t>（四）</w:t>
      </w:r>
      <w:r>
        <w:rPr>
          <w:rFonts w:hint="eastAsia" w:ascii="楷体_GB2312" w:hAnsi="仿宋_GB2312" w:eastAsia="楷体_GB2312" w:cs="仿宋_GB2312"/>
          <w:b/>
          <w:bCs/>
          <w:kern w:val="0"/>
          <w:sz w:val="32"/>
          <w:szCs w:val="32"/>
          <w:lang w:bidi="ar"/>
        </w:rPr>
        <w:t>履约保证金</w:t>
      </w:r>
      <w:bookmarkEnd w:id="42"/>
      <w:bookmarkEnd w:id="43"/>
      <w:r>
        <w:rPr>
          <w:rFonts w:hint="eastAsia" w:ascii="楷体_GB2312" w:hAnsi="仿宋_GB2312" w:eastAsia="楷体_GB2312" w:cs="仿宋_GB2312"/>
          <w:b/>
          <w:bCs/>
          <w:kern w:val="0"/>
          <w:sz w:val="32"/>
          <w:szCs w:val="32"/>
          <w:lang w:bidi="ar"/>
        </w:rPr>
        <w:t>（本条适用于要求缴纳履约保证金的项目）</w:t>
      </w:r>
    </w:p>
    <w:p w14:paraId="09AEA2C5">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u w:val="single"/>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成交单位应在合同签订之前缴纳竞争性谈判文件规定数额的履约保证金。</w:t>
      </w:r>
    </w:p>
    <w:p w14:paraId="0BA70C01">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成交单位没有按照竞争性谈判文件的规定缴纳履约保证金将视为放弃成交。</w:t>
      </w:r>
    </w:p>
    <w:p w14:paraId="22842AD4">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bookmarkStart w:id="44" w:name="_Toc308164813"/>
      <w:bookmarkStart w:id="45" w:name="_Toc217446069"/>
      <w:r>
        <w:rPr>
          <w:rFonts w:ascii="楷体_GB2312" w:hAnsi="仿宋_GB2312" w:eastAsia="楷体_GB2312" w:cs="仿宋_GB2312"/>
          <w:b/>
          <w:bCs/>
          <w:kern w:val="0"/>
          <w:sz w:val="32"/>
          <w:szCs w:val="32"/>
          <w:lang w:bidi="ar"/>
        </w:rPr>
        <w:t>（五）</w:t>
      </w:r>
      <w:r>
        <w:rPr>
          <w:rFonts w:hint="eastAsia" w:ascii="楷体_GB2312" w:hAnsi="仿宋_GB2312" w:eastAsia="楷体_GB2312" w:cs="仿宋_GB2312"/>
          <w:b/>
          <w:bCs/>
          <w:kern w:val="0"/>
          <w:sz w:val="32"/>
          <w:szCs w:val="32"/>
          <w:lang w:bidi="ar"/>
        </w:rPr>
        <w:t>合同备案</w:t>
      </w:r>
    </w:p>
    <w:p w14:paraId="436BBDCA">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采购人应当将采购合同原件自签订（双方当事人均已签字盖章）之日将纸质件自行做好备案。</w:t>
      </w:r>
    </w:p>
    <w:p w14:paraId="175CBFC2">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（六）</w:t>
      </w:r>
      <w:r>
        <w:rPr>
          <w:rFonts w:hint="eastAsia" w:ascii="楷体_GB2312" w:hAnsi="仿宋_GB2312" w:eastAsia="楷体_GB2312" w:cs="仿宋_GB2312"/>
          <w:b/>
          <w:bCs/>
          <w:kern w:val="0"/>
          <w:sz w:val="32"/>
          <w:szCs w:val="32"/>
          <w:lang w:bidi="ar"/>
        </w:rPr>
        <w:t>履行合同</w:t>
      </w:r>
      <w:bookmarkEnd w:id="44"/>
      <w:bookmarkEnd w:id="45"/>
    </w:p>
    <w:p w14:paraId="5C3532F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(1)成交单位与采购人签订合同后，合同双方应严格执行合同条款，履行合同规定的义务，保证合同的顺利完成。</w:t>
      </w:r>
    </w:p>
    <w:p w14:paraId="7FF218FB">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(2)在合同履行过程中，如发生合同纠纷，合同双方应按照《民法典》等有关规定进行处理。</w:t>
      </w:r>
    </w:p>
    <w:p w14:paraId="05B545CE">
      <w:pPr>
        <w:pageBreakBefore w:val="0"/>
        <w:kinsoku/>
        <w:wordWrap/>
        <w:overflowPunct/>
        <w:topLinePunct w:val="0"/>
        <w:bidi w:val="0"/>
        <w:adjustRightInd w:val="0"/>
        <w:snapToGrid w:val="0"/>
        <w:spacing w:line="600" w:lineRule="exact"/>
        <w:ind w:firstLine="643" w:firstLineChars="200"/>
        <w:rPr>
          <w:rFonts w:hint="eastAsia" w:ascii="仿宋_GB2312" w:hAnsi="仿宋_GB2312" w:eastAsia="仿宋_GB2312" w:cs="仿宋_GB2312"/>
          <w:b/>
          <w:sz w:val="32"/>
          <w:szCs w:val="32"/>
        </w:rPr>
      </w:pPr>
      <w:bookmarkStart w:id="46" w:name="_Toc308164814"/>
      <w:bookmarkStart w:id="47" w:name="_Toc217446070"/>
      <w:r>
        <w:rPr>
          <w:rFonts w:hint="eastAsia" w:ascii="仿宋_GB2312" w:hAnsi="仿宋_GB2312" w:eastAsia="仿宋_GB2312" w:cs="仿宋_GB2312"/>
          <w:b/>
          <w:sz w:val="32"/>
          <w:szCs w:val="32"/>
        </w:rPr>
        <w:t>7.验收</w:t>
      </w:r>
      <w:bookmarkEnd w:id="46"/>
      <w:bookmarkEnd w:id="47"/>
    </w:p>
    <w:p w14:paraId="1643A39D">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本项目采购人将严格按照政府采购相关法律法规和相关行业规范等要求组织验收、会审。</w:t>
      </w:r>
    </w:p>
    <w:p w14:paraId="3BE88538">
      <w:pPr>
        <w:pageBreakBefore w:val="0"/>
        <w:kinsoku/>
        <w:wordWrap/>
        <w:overflowPunct/>
        <w:topLinePunct w:val="0"/>
        <w:bidi w:val="0"/>
        <w:adjustRightInd w:val="0"/>
        <w:snapToGrid w:val="0"/>
        <w:spacing w:line="600" w:lineRule="exact"/>
        <w:ind w:firstLine="643" w:firstLineChars="200"/>
        <w:rPr>
          <w:rFonts w:hint="eastAsia" w:ascii="仿宋_GB2312" w:hAnsi="仿宋_GB2312" w:eastAsia="仿宋_GB2312" w:cs="仿宋_GB2312"/>
          <w:b/>
          <w:sz w:val="32"/>
          <w:szCs w:val="32"/>
        </w:rPr>
      </w:pPr>
      <w:bookmarkStart w:id="48" w:name="_Toc308164818"/>
      <w:bookmarkStart w:id="49" w:name="_Toc217446077"/>
      <w:bookmarkStart w:id="50" w:name="_Toc217446071"/>
      <w:r>
        <w:rPr>
          <w:rFonts w:hint="eastAsia" w:ascii="仿宋_GB2312" w:hAnsi="仿宋_GB2312" w:eastAsia="仿宋_GB2312" w:cs="仿宋_GB2312"/>
          <w:b/>
          <w:sz w:val="32"/>
          <w:szCs w:val="32"/>
        </w:rPr>
        <w:t>8.资金支付</w:t>
      </w:r>
      <w:bookmarkEnd w:id="48"/>
      <w:bookmarkEnd w:id="49"/>
    </w:p>
    <w:p w14:paraId="624B7E3F">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采购人将按照采购合同约定向成交单位支付采购资金。</w:t>
      </w:r>
    </w:p>
    <w:bookmarkEnd w:id="38"/>
    <w:bookmarkEnd w:id="39"/>
    <w:bookmarkEnd w:id="50"/>
    <w:p w14:paraId="05372CFA">
      <w:pPr>
        <w:pageBreakBefore w:val="0"/>
        <w:kinsoku/>
        <w:wordWrap/>
        <w:overflowPunct/>
        <w:topLinePunct w:val="0"/>
        <w:bidi w:val="0"/>
        <w:adjustRightInd w:val="0"/>
        <w:snapToGrid w:val="0"/>
        <w:spacing w:line="600" w:lineRule="exact"/>
        <w:ind w:firstLine="640" w:firstLineChars="200"/>
        <w:rPr>
          <w:rFonts w:hint="eastAsia" w:ascii="黑体" w:hAnsi="黑体" w:eastAsia="黑体" w:cs="黑体"/>
          <w:kern w:val="0"/>
          <w:sz w:val="32"/>
          <w:szCs w:val="32"/>
          <w:lang w:bidi="ar"/>
        </w:rPr>
      </w:pPr>
      <w:bookmarkStart w:id="51" w:name="_Toc217446074"/>
      <w:bookmarkStart w:id="52" w:name="_Toc518487352"/>
      <w:bookmarkStart w:id="53" w:name="_Toc308164815"/>
      <w:bookmarkStart w:id="54" w:name="_Toc14476"/>
      <w:bookmarkStart w:id="55" w:name="_Toc183582243"/>
      <w:bookmarkStart w:id="56" w:name="_Toc183682380"/>
      <w:r>
        <w:rPr>
          <w:rFonts w:hint="eastAsia" w:ascii="黑体" w:hAnsi="黑体" w:eastAsia="黑体" w:cs="黑体"/>
          <w:kern w:val="0"/>
          <w:sz w:val="32"/>
          <w:szCs w:val="32"/>
          <w:lang w:bidi="ar"/>
        </w:rPr>
        <w:t>五、谈判纪律要求</w:t>
      </w:r>
      <w:bookmarkEnd w:id="51"/>
      <w:bookmarkEnd w:id="52"/>
      <w:bookmarkEnd w:id="53"/>
      <w:bookmarkEnd w:id="54"/>
    </w:p>
    <w:p w14:paraId="30C5307D">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bookmarkStart w:id="57" w:name="_Toc308164816"/>
      <w:bookmarkStart w:id="58" w:name="_Toc217446075"/>
      <w:r>
        <w:rPr>
          <w:rFonts w:ascii="楷体_GB2312" w:hAnsi="仿宋_GB2312" w:eastAsia="楷体_GB2312" w:cs="仿宋_GB2312"/>
          <w:b/>
          <w:bCs/>
          <w:kern w:val="0"/>
          <w:sz w:val="32"/>
          <w:szCs w:val="32"/>
          <w:lang w:bidi="ar"/>
        </w:rPr>
        <w:t>（一）</w:t>
      </w:r>
      <w:r>
        <w:rPr>
          <w:rFonts w:hint="eastAsia" w:ascii="楷体_GB2312" w:hAnsi="仿宋_GB2312" w:eastAsia="楷体_GB2312" w:cs="仿宋_GB2312"/>
          <w:b/>
          <w:bCs/>
          <w:kern w:val="0"/>
          <w:sz w:val="32"/>
          <w:szCs w:val="32"/>
          <w:lang w:bidi="ar"/>
        </w:rPr>
        <w:t>参与单位不得具有的情形</w:t>
      </w:r>
      <w:bookmarkEnd w:id="57"/>
      <w:bookmarkEnd w:id="58"/>
    </w:p>
    <w:p w14:paraId="17E1F1B2">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参与单位参加本项目谈判不得有下列情形：</w:t>
      </w:r>
    </w:p>
    <w:p w14:paraId="5201FBAD">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提供虚假材料谋取成交；</w:t>
      </w:r>
    </w:p>
    <w:p w14:paraId="3120F6A9">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采取不正当手段诋毁、排挤其他参与单位；</w:t>
      </w:r>
    </w:p>
    <w:p w14:paraId="58A390ED">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与采购单位、其他参与单位恶意串通；</w:t>
      </w:r>
    </w:p>
    <w:p w14:paraId="15FBC4A5">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向采购单位、谈判小组成员行贿或者提供其他不正当利益；</w:t>
      </w:r>
    </w:p>
    <w:p w14:paraId="76B39AAC">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成交后无正当理由拒不与采购人签订采购合同；</w:t>
      </w:r>
    </w:p>
    <w:p w14:paraId="6341A32E">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未按照采购文件确定的事项签订采购合同；</w:t>
      </w:r>
    </w:p>
    <w:p w14:paraId="681E0EB9">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将采购合同转包或者违规分包；</w:t>
      </w:r>
    </w:p>
    <w:p w14:paraId="6427C870">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提供假冒伪劣产品；</w:t>
      </w:r>
    </w:p>
    <w:p w14:paraId="65416CD7">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擅自变更、中止或者终止采购合同；</w:t>
      </w:r>
    </w:p>
    <w:p w14:paraId="19F9737C">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拒绝有关部门的监督检查或者向监督检查部门提供虚假情况；</w:t>
      </w:r>
    </w:p>
    <w:p w14:paraId="11D02DCC">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法律法规规定的其他情形。</w:t>
      </w:r>
    </w:p>
    <w:p w14:paraId="7A79A51A">
      <w:pPr>
        <w:pageBreakBefore w:val="0"/>
        <w:kinsoku/>
        <w:wordWrap/>
        <w:overflowPunct/>
        <w:topLinePunct w:val="0"/>
        <w:bidi w:val="0"/>
        <w:adjustRightInd w:val="0"/>
        <w:snapToGrid w:val="0"/>
        <w:spacing w:line="60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参与单位有上述情形的，按照规定追究法律责任，具备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条情形之一的，同时将取消成交资格或者认定成交无效。</w:t>
      </w:r>
      <w:bookmarkStart w:id="59" w:name="_Toc217446078"/>
      <w:bookmarkStart w:id="60" w:name="_Toc518487353"/>
      <w:bookmarkStart w:id="61" w:name="_Toc25254"/>
      <w:bookmarkStart w:id="62" w:name="_Toc308164819"/>
    </w:p>
    <w:bookmarkEnd w:id="55"/>
    <w:bookmarkEnd w:id="56"/>
    <w:bookmarkEnd w:id="59"/>
    <w:bookmarkEnd w:id="60"/>
    <w:bookmarkEnd w:id="61"/>
    <w:bookmarkEnd w:id="62"/>
    <w:p w14:paraId="27BFC6EA">
      <w:pPr>
        <w:pageBreakBefore w:val="0"/>
        <w:kinsoku/>
        <w:wordWrap/>
        <w:overflowPunct/>
        <w:topLinePunct w:val="0"/>
        <w:bidi w:val="0"/>
        <w:adjustRightInd w:val="0"/>
        <w:snapToGrid w:val="0"/>
        <w:spacing w:line="60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询问、质疑、投诉的接收和处理</w:t>
      </w:r>
    </w:p>
    <w:p w14:paraId="033ECB37">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参照《中华人</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rPr>
        <w:t>共和国政府采购法》、《中华人民共和国政府采购法实施条例》、《政府采购质疑和投诉办法》的规定办理。</w:t>
      </w:r>
    </w:p>
    <w:p w14:paraId="1B06A60B">
      <w:pPr>
        <w:pageBreakBefore w:val="0"/>
        <w:kinsoku/>
        <w:wordWrap/>
        <w:overflowPunct/>
        <w:topLinePunct w:val="0"/>
        <w:bidi w:val="0"/>
        <w:adjustRightInd w:val="0"/>
        <w:snapToGrid w:val="0"/>
        <w:spacing w:line="60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六、部分响应文件格式</w:t>
      </w:r>
    </w:p>
    <w:p w14:paraId="691CBC27">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注：本文中有格式请按格式提供，未提供格式的可自拟。</w:t>
      </w:r>
    </w:p>
    <w:p w14:paraId="0E6B11F1">
      <w:pPr>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p>
    <w:p w14:paraId="3C9C0200">
      <w:pPr>
        <w:pageBreakBefore w:val="0"/>
        <w:kinsoku/>
        <w:wordWrap/>
        <w:overflowPunct/>
        <w:topLinePunct w:val="0"/>
        <w:bidi w:val="0"/>
        <w:snapToGrid w:val="0"/>
        <w:spacing w:line="600" w:lineRule="exact"/>
        <w:rPr>
          <w:rFonts w:ascii="宋体"/>
          <w:sz w:val="32"/>
          <w:szCs w:val="32"/>
        </w:rPr>
      </w:pPr>
      <w:r>
        <w:rPr>
          <w:rFonts w:hint="eastAsia" w:ascii="宋体"/>
          <w:sz w:val="32"/>
          <w:szCs w:val="32"/>
        </w:rPr>
        <w:br w:type="page"/>
      </w:r>
    </w:p>
    <w:p w14:paraId="48057D5C">
      <w:pPr>
        <w:pageBreakBefore w:val="0"/>
        <w:kinsoku/>
        <w:wordWrap/>
        <w:overflowPunct/>
        <w:topLinePunct w:val="0"/>
        <w:bidi w:val="0"/>
        <w:adjustRightInd w:val="0"/>
        <w:snapToGrid w:val="0"/>
        <w:spacing w:line="600" w:lineRule="exact"/>
        <w:rPr>
          <w:rFonts w:ascii="宋体"/>
          <w:sz w:val="32"/>
          <w:szCs w:val="32"/>
        </w:rPr>
      </w:pPr>
      <w:r>
        <w:rPr>
          <w:rFonts w:hint="eastAsia" w:ascii="宋体"/>
          <w:sz w:val="32"/>
          <w:szCs w:val="32"/>
        </w:rPr>
        <w:t>封面格式</w:t>
      </w:r>
    </w:p>
    <w:p w14:paraId="15A71794">
      <w:pPr>
        <w:pageBreakBefore w:val="0"/>
        <w:kinsoku/>
        <w:wordWrap/>
        <w:overflowPunct/>
        <w:topLinePunct w:val="0"/>
        <w:bidi w:val="0"/>
        <w:snapToGrid w:val="0"/>
        <w:spacing w:line="600" w:lineRule="exact"/>
        <w:jc w:val="right"/>
        <w:rPr>
          <w:rFonts w:hint="eastAsia" w:ascii="黑体" w:hAnsi="黑体" w:eastAsia="黑体"/>
          <w:b/>
          <w:sz w:val="32"/>
          <w:szCs w:val="52"/>
        </w:rPr>
      </w:pPr>
      <w:r>
        <w:rPr>
          <w:rFonts w:hint="eastAsia" w:ascii="黑体" w:hAnsi="黑体" w:eastAsia="黑体"/>
          <w:b/>
          <w:sz w:val="32"/>
          <w:szCs w:val="52"/>
        </w:rPr>
        <w:t>〔正本/副本〕</w:t>
      </w:r>
    </w:p>
    <w:p w14:paraId="4640447C">
      <w:pPr>
        <w:pageBreakBefore w:val="0"/>
        <w:kinsoku/>
        <w:wordWrap/>
        <w:overflowPunct/>
        <w:topLinePunct w:val="0"/>
        <w:bidi w:val="0"/>
        <w:snapToGrid w:val="0"/>
        <w:spacing w:line="600" w:lineRule="exact"/>
        <w:rPr>
          <w:rFonts w:ascii="宋体"/>
          <w:sz w:val="24"/>
        </w:rPr>
      </w:pPr>
    </w:p>
    <w:p w14:paraId="2A9019F9">
      <w:pPr>
        <w:pageBreakBefore w:val="0"/>
        <w:kinsoku/>
        <w:wordWrap/>
        <w:overflowPunct/>
        <w:topLinePunct w:val="0"/>
        <w:bidi w:val="0"/>
        <w:snapToGrid w:val="0"/>
        <w:spacing w:line="600" w:lineRule="exact"/>
        <w:jc w:val="center"/>
        <w:rPr>
          <w:rFonts w:hint="eastAsia" w:ascii="黑体" w:hAnsi="黑体" w:eastAsia="黑体"/>
          <w:b/>
          <w:sz w:val="52"/>
          <w:szCs w:val="52"/>
        </w:rPr>
      </w:pPr>
    </w:p>
    <w:p w14:paraId="75411F86">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四川省犍为师范学校附属小学</w:t>
      </w:r>
      <w:r>
        <w:rPr>
          <w:rFonts w:hint="eastAsia" w:ascii="方正小标宋简体" w:hAnsi="方正小标宋简体" w:eastAsia="方正小标宋简体" w:cs="方正小标宋简体"/>
          <w:bCs/>
          <w:sz w:val="44"/>
          <w:szCs w:val="44"/>
        </w:rPr>
        <w:t>“六·一”文艺汇演舞台搭建布置等</w:t>
      </w:r>
      <w:r>
        <w:rPr>
          <w:rFonts w:ascii="方正小标宋简体" w:hAnsi="方正小标宋简体" w:eastAsia="方正小标宋简体" w:cs="方正小标宋简体"/>
          <w:bCs/>
          <w:sz w:val="44"/>
          <w:szCs w:val="44"/>
        </w:rPr>
        <w:t>服务项目</w:t>
      </w:r>
    </w:p>
    <w:p w14:paraId="27F13B2C">
      <w:pPr>
        <w:pStyle w:val="5"/>
        <w:keepNext w:val="0"/>
        <w:keepLines w:val="0"/>
        <w:pageBreakBefore w:val="0"/>
        <w:widowControl w:val="0"/>
        <w:kinsoku/>
        <w:wordWrap/>
        <w:overflowPunct/>
        <w:topLinePunct w:val="0"/>
        <w:autoSpaceDE/>
        <w:autoSpaceDN/>
        <w:bidi w:val="0"/>
        <w:snapToGrid w:val="0"/>
        <w:spacing w:line="700" w:lineRule="exact"/>
        <w:textAlignment w:val="auto"/>
        <w:rPr>
          <w:rFonts w:hint="eastAsia"/>
        </w:rPr>
      </w:pPr>
    </w:p>
    <w:p w14:paraId="203AE274">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Cs/>
          <w:sz w:val="72"/>
          <w:szCs w:val="72"/>
        </w:rPr>
      </w:pPr>
    </w:p>
    <w:p w14:paraId="5E634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竞争性</w:t>
      </w:r>
      <w:bookmarkStart w:id="63" w:name="_Toc518487356"/>
      <w:bookmarkStart w:id="64" w:name="_Toc19957"/>
      <w:r>
        <w:rPr>
          <w:rFonts w:hint="eastAsia" w:ascii="方正小标宋简体" w:hAnsi="方正小标宋简体" w:eastAsia="方正小标宋简体" w:cs="方正小标宋简体"/>
          <w:bCs/>
          <w:sz w:val="72"/>
          <w:szCs w:val="72"/>
        </w:rPr>
        <w:t>谈判</w:t>
      </w:r>
    </w:p>
    <w:p w14:paraId="5F2BC1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响应文件</w:t>
      </w:r>
      <w:bookmarkEnd w:id="63"/>
      <w:bookmarkEnd w:id="64"/>
    </w:p>
    <w:p w14:paraId="2CB8AF13">
      <w:pPr>
        <w:pageBreakBefore w:val="0"/>
        <w:kinsoku/>
        <w:wordWrap/>
        <w:overflowPunct/>
        <w:topLinePunct w:val="0"/>
        <w:bidi w:val="0"/>
        <w:snapToGrid w:val="0"/>
        <w:spacing w:line="600" w:lineRule="exact"/>
        <w:rPr>
          <w:rFonts w:ascii="宋体"/>
          <w:sz w:val="24"/>
        </w:rPr>
      </w:pPr>
    </w:p>
    <w:p w14:paraId="44212E70">
      <w:pPr>
        <w:pStyle w:val="6"/>
        <w:pageBreakBefore w:val="0"/>
        <w:kinsoku/>
        <w:wordWrap/>
        <w:overflowPunct/>
        <w:topLinePunct w:val="0"/>
        <w:bidi w:val="0"/>
        <w:snapToGrid w:val="0"/>
        <w:spacing w:after="0" w:line="600" w:lineRule="exact"/>
      </w:pPr>
    </w:p>
    <w:p w14:paraId="47FF63EA">
      <w:pPr>
        <w:pStyle w:val="6"/>
        <w:pageBreakBefore w:val="0"/>
        <w:kinsoku/>
        <w:wordWrap/>
        <w:overflowPunct/>
        <w:topLinePunct w:val="0"/>
        <w:bidi w:val="0"/>
        <w:snapToGrid w:val="0"/>
        <w:spacing w:after="0" w:line="600" w:lineRule="exact"/>
      </w:pPr>
    </w:p>
    <w:p w14:paraId="2BA8F10F">
      <w:pPr>
        <w:pageBreakBefore w:val="0"/>
        <w:kinsoku/>
        <w:wordWrap/>
        <w:overflowPunct/>
        <w:topLinePunct w:val="0"/>
        <w:bidi w:val="0"/>
        <w:snapToGrid w:val="0"/>
        <w:spacing w:line="6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eastAsia="zh-CN"/>
        </w:rPr>
        <w:t>四川省犍为师范学校附属小学“六·一”文艺汇演</w:t>
      </w:r>
      <w:r>
        <w:rPr>
          <w:rFonts w:hint="eastAsia" w:ascii="仿宋_GB2312" w:hAnsi="仿宋_GB2312" w:eastAsia="仿宋_GB2312" w:cs="仿宋_GB2312"/>
          <w:sz w:val="28"/>
          <w:szCs w:val="28"/>
          <w:u w:val="single"/>
        </w:rPr>
        <w:t>舞台搭</w:t>
      </w:r>
      <w:r>
        <w:rPr>
          <w:rFonts w:hint="eastAsia" w:ascii="仿宋_GB2312" w:hAnsi="仿宋_GB2312" w:eastAsia="仿宋_GB2312" w:cs="仿宋_GB2312"/>
          <w:sz w:val="28"/>
          <w:szCs w:val="28"/>
          <w:u w:val="none"/>
          <w:lang w:val="en-US" w:eastAsia="zh-CN"/>
        </w:rPr>
        <w:tab/>
        <w:t/>
      </w:r>
      <w:r>
        <w:rPr>
          <w:rFonts w:hint="eastAsia" w:ascii="仿宋_GB2312" w:hAnsi="仿宋_GB2312" w:eastAsia="仿宋_GB2312" w:cs="仿宋_GB2312"/>
          <w:sz w:val="28"/>
          <w:szCs w:val="28"/>
          <w:u w:val="none"/>
          <w:lang w:val="en-US" w:eastAsia="zh-CN"/>
        </w:rPr>
        <w:tab/>
        <w:t/>
      </w:r>
      <w:r>
        <w:rPr>
          <w:rFonts w:hint="eastAsia" w:ascii="仿宋_GB2312" w:hAnsi="仿宋_GB2312" w:eastAsia="仿宋_GB2312" w:cs="仿宋_GB2312"/>
          <w:sz w:val="28"/>
          <w:szCs w:val="28"/>
          <w:u w:val="none"/>
          <w:lang w:val="en-US" w:eastAsia="zh-CN"/>
        </w:rPr>
        <w:tab/>
        <w:t/>
      </w:r>
      <w:r>
        <w:rPr>
          <w:rFonts w:hint="eastAsia" w:ascii="仿宋_GB2312" w:hAnsi="仿宋_GB2312" w:eastAsia="仿宋_GB2312" w:cs="仿宋_GB2312"/>
          <w:sz w:val="28"/>
          <w:szCs w:val="28"/>
          <w:u w:val="none"/>
          <w:lang w:val="en-US" w:eastAsia="zh-CN"/>
        </w:rPr>
        <w:tab/>
        <w:t xml:space="preserve">  </w:t>
      </w:r>
      <w:r>
        <w:rPr>
          <w:rFonts w:hint="eastAsia" w:ascii="仿宋_GB2312" w:hAnsi="仿宋_GB2312" w:eastAsia="仿宋_GB2312" w:cs="仿宋_GB2312"/>
          <w:sz w:val="28"/>
          <w:szCs w:val="28"/>
          <w:u w:val="single"/>
        </w:rPr>
        <w:t>建布置等服务项目</w:t>
      </w:r>
    </w:p>
    <w:p w14:paraId="7BE80D0E">
      <w:pPr>
        <w:pageBreakBefore w:val="0"/>
        <w:kinsoku/>
        <w:wordWrap/>
        <w:overflowPunct/>
        <w:topLinePunct w:val="0"/>
        <w:bidi w:val="0"/>
        <w:snapToGrid w:val="0"/>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u w:val="single"/>
          <w:lang w:eastAsia="zh-CN"/>
        </w:rPr>
        <w:t>四川省犍为师范学校附属小学</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1049C601">
      <w:pPr>
        <w:pageBreakBefore w:val="0"/>
        <w:kinsoku/>
        <w:wordWrap/>
        <w:overflowPunct/>
        <w:topLinePunct w:val="0"/>
        <w:bidi w:val="0"/>
        <w:snapToGri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参与单位全称（盖单位公章）：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793DC7D6">
      <w:pPr>
        <w:pageBreakBefore w:val="0"/>
        <w:kinsoku/>
        <w:wordWrap/>
        <w:overflowPunct/>
        <w:topLinePunct w:val="0"/>
        <w:bidi w:val="0"/>
        <w:snapToGrid w:val="0"/>
        <w:spacing w:line="60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日</w:t>
      </w:r>
      <w:r>
        <w:rPr>
          <w:rFonts w:hint="eastAsia" w:ascii="仿宋_GB2312" w:hAnsi="仿宋_GB2312" w:eastAsia="仿宋_GB2312" w:cs="仿宋_GB2312"/>
          <w:sz w:val="28"/>
          <w:szCs w:val="28"/>
          <w:u w:val="single"/>
          <w:lang w:val="en-US" w:eastAsia="zh-CN"/>
        </w:rPr>
        <w:t xml:space="preserve"> </w:t>
      </w:r>
    </w:p>
    <w:p w14:paraId="70492FD4">
      <w:pPr>
        <w:pageBreakBefore w:val="0"/>
        <w:kinsoku/>
        <w:wordWrap/>
        <w:overflowPunct/>
        <w:topLinePunct w:val="0"/>
        <w:bidi w:val="0"/>
        <w:snapToGrid w:val="0"/>
        <w:spacing w:line="600" w:lineRule="exact"/>
        <w:jc w:val="center"/>
        <w:rPr>
          <w:rFonts w:hint="eastAsia" w:ascii="方正小标宋简体" w:hAnsi="方正小标宋简体" w:eastAsia="方正小标宋简体" w:cs="方正小标宋简体"/>
          <w:sz w:val="44"/>
          <w:szCs w:val="44"/>
        </w:rPr>
      </w:pPr>
      <w:bookmarkStart w:id="65" w:name="_Toc472608715"/>
      <w:bookmarkStart w:id="66" w:name="_Toc11577"/>
      <w:bookmarkStart w:id="67" w:name="_Toc518487358"/>
      <w:r>
        <w:rPr>
          <w:rFonts w:hint="eastAsia" w:ascii="宋体" w:hAnsi="宋体" w:cs="宋体"/>
          <w:b/>
          <w:bCs/>
          <w:sz w:val="28"/>
          <w:szCs w:val="28"/>
        </w:rPr>
        <w:br w:type="page"/>
      </w:r>
      <w:r>
        <w:rPr>
          <w:rFonts w:hint="eastAsia" w:ascii="方正小标宋简体" w:hAnsi="方正小标宋简体" w:eastAsia="方正小标宋简体" w:cs="方正小标宋简体"/>
          <w:sz w:val="44"/>
          <w:szCs w:val="44"/>
        </w:rPr>
        <w:t>承诺函</w:t>
      </w:r>
      <w:bookmarkEnd w:id="65"/>
      <w:bookmarkEnd w:id="66"/>
      <w:bookmarkEnd w:id="67"/>
    </w:p>
    <w:p w14:paraId="42BCDA8A">
      <w:pPr>
        <w:keepNext w:val="0"/>
        <w:keepLines w:val="0"/>
        <w:pageBreakBefore w:val="0"/>
        <w:widowControl w:val="0"/>
        <w:kinsoku/>
        <w:wordWrap/>
        <w:overflowPunct/>
        <w:topLinePunct w:val="0"/>
        <w:autoSpaceDE/>
        <w:autoSpaceDN/>
        <w:bidi w:val="0"/>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四川省犍为师范学校附属小学</w:t>
      </w:r>
      <w:r>
        <w:rPr>
          <w:rFonts w:hint="eastAsia" w:ascii="仿宋_GB2312" w:hAnsi="仿宋_GB2312" w:eastAsia="仿宋_GB2312" w:cs="仿宋_GB2312"/>
          <w:sz w:val="32"/>
          <w:szCs w:val="32"/>
        </w:rPr>
        <w:t>：</w:t>
      </w:r>
    </w:p>
    <w:p w14:paraId="6218CA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我公司作为本次服务项目的参与单位，根据竞争性谈判文件要求，现郑重承诺如下：</w:t>
      </w:r>
    </w:p>
    <w:p w14:paraId="6C103B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一、具备本项目的条件：</w:t>
      </w:r>
    </w:p>
    <w:p w14:paraId="45BBBE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r>
        <w:rPr>
          <w:rFonts w:eastAsia="仿宋_GB2312" w:cs="Calibri"/>
          <w:sz w:val="32"/>
          <w:szCs w:val="32"/>
        </w:rPr>
        <w:t> </w:t>
      </w:r>
    </w:p>
    <w:p w14:paraId="4E9211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14:paraId="54AFE9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r>
        <w:rPr>
          <w:rFonts w:eastAsia="仿宋_GB2312" w:cs="Calibri"/>
          <w:sz w:val="32"/>
          <w:szCs w:val="32"/>
        </w:rPr>
        <w:t> </w:t>
      </w:r>
      <w:r>
        <w:rPr>
          <w:rFonts w:hint="eastAsia" w:ascii="仿宋_GB2312" w:hAnsi="仿宋_GB2312" w:eastAsia="仿宋_GB2312" w:cs="仿宋_GB2312"/>
          <w:sz w:val="32"/>
          <w:szCs w:val="32"/>
        </w:rPr>
        <w:t xml:space="preserve"> </w:t>
      </w:r>
    </w:p>
    <w:p w14:paraId="7B9FDA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w:t>
      </w:r>
    </w:p>
    <w:p w14:paraId="3E82F3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eastAsia="仿宋_GB2312" w:cs="Calibri"/>
          <w:sz w:val="32"/>
          <w:szCs w:val="32"/>
        </w:rPr>
        <w:t> </w:t>
      </w:r>
      <w:r>
        <w:rPr>
          <w:rFonts w:hint="eastAsia" w:ascii="仿宋_GB2312" w:hAnsi="仿宋_GB2312" w:eastAsia="仿宋_GB2312" w:cs="仿宋_GB2312"/>
          <w:sz w:val="32"/>
          <w:szCs w:val="32"/>
        </w:rPr>
        <w:t>参加本次采购活动前三年内，在经营活动中没有重大违法记录（200万元及以上，法律、行政法规及国务院有关部门明确规定相关领域“较大数额罚款”标准高于200万元的，从其规定。）罚款等行政处罚且期限未满的；</w:t>
      </w:r>
    </w:p>
    <w:p w14:paraId="40B604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（六）法律、行政法规规定的其他条件</w:t>
      </w:r>
      <w:r>
        <w:rPr>
          <w:rFonts w:hint="eastAsia" w:ascii="仿宋_GB2312" w:hAnsi="仿宋_GB2312" w:eastAsia="仿宋_GB2312" w:cs="仿宋_GB2312"/>
          <w:sz w:val="32"/>
          <w:szCs w:val="32"/>
          <w:lang w:eastAsia="zh-CN"/>
        </w:rPr>
        <w:t>；</w:t>
      </w:r>
    </w:p>
    <w:p w14:paraId="21E0B9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（七）本项目不接受联合体投标。</w:t>
      </w:r>
    </w:p>
    <w:p w14:paraId="452615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全接受和满足本项目竞争性谈判文件中规定的实质性要求，如对竞争性谈判文件有异议，已经在响应文件递交截止时间届满前依法进行维权救济，不存在对竞争性谈判文件有异议的同时又参加谈判以求侥幸成交或者为实现其他非法目的的行为。</w:t>
      </w:r>
    </w:p>
    <w:p w14:paraId="612253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三、参加本次谈判采购活动，未参与本项目的前期工作，不存在与单位负责人为同一人或者存在直接控股、管理关系的其他参与单位参与同一合同项下的采购活动的行为。</w:t>
      </w:r>
    </w:p>
    <w:p w14:paraId="7CEED0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四、参加本次谈判采购活动，不存在和其他参与单位在同一合同项下的采购项目中，同时委托同一个自然人、同一家庭的人员、同一单位的人员作为代理人的行为。</w:t>
      </w:r>
    </w:p>
    <w:p w14:paraId="70BDF0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五、我单位近三年内</w:t>
      </w:r>
      <w:r>
        <w:rPr>
          <w:rFonts w:hint="eastAsia" w:ascii="仿宋_GB2312" w:hAnsi="仿宋_GB2312" w:eastAsia="仿宋_GB2312" w:cs="仿宋_GB2312"/>
          <w:sz w:val="32"/>
          <w:szCs w:val="32"/>
          <w:u w:val="single"/>
        </w:rPr>
        <w:t>有（  ）/无（ ）</w:t>
      </w:r>
      <w:r>
        <w:rPr>
          <w:rFonts w:hint="eastAsia" w:ascii="仿宋_GB2312" w:hAnsi="仿宋_GB2312" w:eastAsia="仿宋_GB2312" w:cs="仿宋_GB2312"/>
          <w:sz w:val="32"/>
          <w:szCs w:val="32"/>
        </w:rPr>
        <w:t>失信行为，如果有《四川省政府采购当事人诚信管理办法》（川财采[2015]33号）规定的记入诚信档案的失信行为，将在响应文件-报价部分全面如实反映。</w:t>
      </w:r>
      <w:r>
        <w:rPr>
          <w:rFonts w:hint="eastAsia" w:ascii="仿宋_GB2312" w:hAnsi="仿宋_GB2312" w:eastAsia="仿宋_GB2312" w:cs="仿宋_GB2312"/>
          <w:sz w:val="32"/>
          <w:szCs w:val="32"/>
          <w:u w:val="single"/>
        </w:rPr>
        <w:t>请在（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）打“√”或“</w:t>
      </w:r>
      <w:r>
        <w:rPr>
          <w:rFonts w:hint="eastAsia" w:ascii="仿宋_GB2312" w:hAnsi="仿宋_GB2312" w:eastAsia="仿宋_GB2312" w:cs="仿宋_GB2312"/>
          <w:sz w:val="32"/>
          <w:szCs w:val="32"/>
          <w:u w:val="single"/>
          <w:lang w:val="en-US" w:eastAsia="zh-CN"/>
        </w:rPr>
        <w:t>X</w:t>
      </w:r>
      <w:r>
        <w:rPr>
          <w:rFonts w:hint="eastAsia" w:ascii="仿宋_GB2312" w:hAnsi="仿宋_GB2312" w:eastAsia="仿宋_GB2312" w:cs="仿宋_GB2312"/>
          <w:sz w:val="32"/>
          <w:szCs w:val="32"/>
          <w:u w:val="single"/>
        </w:rPr>
        <w:t>”。</w:t>
      </w:r>
    </w:p>
    <w:p w14:paraId="41CE021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六、响应文件中提供的任何材料、资料、技术、服务、商务等响应承诺情况都是真实的、有效的、合法的。</w:t>
      </w:r>
    </w:p>
    <w:p w14:paraId="1731E7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七、我方同意本项目谈判有效期为响应文件递交截止时间届满后</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日历天。</w:t>
      </w:r>
    </w:p>
    <w:p w14:paraId="707A6D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本项目实施过程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23C447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九、我单位承诺：没有处于禁止参加政府采购活动期间。</w:t>
      </w:r>
    </w:p>
    <w:p w14:paraId="3BE8E1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本公司对上述承诺的内容事项真实性负责。如经查实上述承诺的内容事项存在虚假，我公司愿意接受以提供虚假材料谋取成交追究法律责任。</w:t>
      </w:r>
    </w:p>
    <w:p w14:paraId="70258D65">
      <w:pPr>
        <w:keepNext w:val="0"/>
        <w:keepLines w:val="0"/>
        <w:pageBreakBefore w:val="0"/>
        <w:widowControl w:val="0"/>
        <w:kinsoku/>
        <w:wordWrap/>
        <w:overflowPunct/>
        <w:topLinePunct w:val="0"/>
        <w:autoSpaceDE/>
        <w:autoSpaceDN/>
        <w:bidi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参与单位全称（盖单位公章）</w:t>
      </w:r>
      <w:r>
        <w:rPr>
          <w:rFonts w:hint="eastAsia" w:ascii="仿宋_GB2312" w:hAnsi="仿宋_GB2312" w:eastAsia="仿宋_GB2312" w:cs="仿宋_GB2312"/>
          <w:sz w:val="32"/>
          <w:szCs w:val="32"/>
          <w:u w:val="single"/>
        </w:rPr>
        <w:t xml:space="preserve">：　　                                </w:t>
      </w:r>
    </w:p>
    <w:p w14:paraId="6BAE51B3">
      <w:pPr>
        <w:keepNext w:val="0"/>
        <w:keepLines w:val="0"/>
        <w:pageBreakBefore w:val="0"/>
        <w:widowControl w:val="0"/>
        <w:kinsoku/>
        <w:wordWrap/>
        <w:overflowPunct/>
        <w:topLinePunct w:val="0"/>
        <w:autoSpaceDE/>
        <w:autoSpaceDN/>
        <w:bidi w:val="0"/>
        <w:snapToGrid w:val="0"/>
        <w:spacing w:line="60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法定代表人(负责人)或授权代表（签字）：</w:t>
      </w:r>
      <w:r>
        <w:rPr>
          <w:rFonts w:hint="eastAsia" w:ascii="仿宋_GB2312" w:hAnsi="仿宋_GB2312" w:eastAsia="仿宋_GB2312" w:cs="仿宋_GB2312"/>
          <w:sz w:val="32"/>
          <w:szCs w:val="32"/>
          <w:u w:val="single"/>
        </w:rPr>
        <w:t xml:space="preserve">          　　     </w:t>
      </w:r>
    </w:p>
    <w:p w14:paraId="0EAA42F4">
      <w:pPr>
        <w:keepNext w:val="0"/>
        <w:keepLines w:val="0"/>
        <w:pageBreakBefore w:val="0"/>
        <w:widowControl w:val="0"/>
        <w:kinsoku/>
        <w:wordWrap/>
        <w:overflowPunct/>
        <w:topLinePunct w:val="0"/>
        <w:autoSpaceDE/>
        <w:autoSpaceDN/>
        <w:bidi w:val="0"/>
        <w:snapToGrid w:val="0"/>
        <w:spacing w:line="600" w:lineRule="exact"/>
        <w:jc w:val="left"/>
        <w:rPr>
          <w:rFonts w:hint="eastAsia" w:ascii="仿宋_GB2312" w:hAnsi="仿宋_GB2312" w:eastAsia="仿宋_GB2312" w:cs="仿宋_GB2312"/>
          <w:sz w:val="32"/>
          <w:szCs w:val="32"/>
          <w:u w:val="single"/>
        </w:rPr>
      </w:pPr>
    </w:p>
    <w:p w14:paraId="78CF7D44">
      <w:pPr>
        <w:keepNext w:val="0"/>
        <w:keepLines w:val="0"/>
        <w:pageBreakBefore w:val="0"/>
        <w:widowControl w:val="0"/>
        <w:kinsoku/>
        <w:wordWrap/>
        <w:overflowPunct/>
        <w:topLinePunct w:val="0"/>
        <w:autoSpaceDE/>
        <w:autoSpaceDN/>
        <w:bidi w:val="0"/>
        <w:snapToGrid w:val="0"/>
        <w:spacing w:line="600" w:lineRule="exact"/>
        <w:jc w:val="left"/>
        <w:rPr>
          <w:rFonts w:hint="eastAsia" w:ascii="仿宋_GB2312" w:hAnsi="仿宋_GB2312" w:eastAsia="仿宋_GB2312" w:cs="仿宋_GB2312"/>
          <w:sz w:val="32"/>
          <w:szCs w:val="32"/>
          <w:u w:val="single"/>
        </w:rPr>
      </w:pPr>
    </w:p>
    <w:p w14:paraId="19814387">
      <w:pPr>
        <w:keepNext w:val="0"/>
        <w:keepLines w:val="0"/>
        <w:pageBreakBefore w:val="0"/>
        <w:widowControl w:val="0"/>
        <w:kinsoku/>
        <w:wordWrap/>
        <w:overflowPunct/>
        <w:topLinePunct w:val="0"/>
        <w:autoSpaceDE/>
        <w:autoSpaceDN/>
        <w:bidi w:val="0"/>
        <w:snapToGrid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年　　　　月　　　　　日</w:t>
      </w:r>
      <w:r>
        <w:rPr>
          <w:rFonts w:hint="eastAsia" w:ascii="仿宋_GB2312" w:hAnsi="仿宋_GB2312" w:eastAsia="仿宋_GB2312" w:cs="仿宋_GB2312"/>
          <w:sz w:val="32"/>
          <w:szCs w:val="32"/>
        </w:rPr>
        <w:t>。</w:t>
      </w:r>
    </w:p>
    <w:p w14:paraId="0F08637E">
      <w:pPr>
        <w:pageBreakBefore w:val="0"/>
        <w:kinsoku/>
        <w:wordWrap/>
        <w:overflowPunct/>
        <w:topLinePunct w:val="0"/>
        <w:bidi w:val="0"/>
        <w:snapToGrid w:val="0"/>
        <w:spacing w:line="600" w:lineRule="exact"/>
        <w:rPr>
          <w:rFonts w:ascii="仿宋_GB2312" w:eastAsia="仿宋_GB2312"/>
          <w:sz w:val="32"/>
          <w:szCs w:val="32"/>
        </w:rPr>
      </w:pPr>
      <w:bookmarkStart w:id="68" w:name="_Toc518487361"/>
      <w:bookmarkStart w:id="69" w:name="_Toc16586"/>
      <w:r>
        <w:rPr>
          <w:rFonts w:hint="eastAsia" w:ascii="仿宋_GB2312" w:eastAsia="仿宋_GB2312"/>
          <w:sz w:val="32"/>
          <w:szCs w:val="32"/>
        </w:rPr>
        <w:br w:type="page"/>
      </w:r>
    </w:p>
    <w:p w14:paraId="4FDD9D42">
      <w:pPr>
        <w:pStyle w:val="6"/>
        <w:pageBreakBefore w:val="0"/>
        <w:kinsoku/>
        <w:wordWrap/>
        <w:overflowPunct/>
        <w:topLinePunct w:val="0"/>
        <w:bidi w:val="0"/>
        <w:snapToGrid w:val="0"/>
        <w:spacing w:after="0" w:line="600" w:lineRule="exact"/>
        <w:rPr>
          <w:rFonts w:ascii="仿宋_GB2312" w:eastAsia="仿宋_GB2312"/>
          <w:sz w:val="32"/>
          <w:szCs w:val="32"/>
        </w:rPr>
      </w:pPr>
      <w:r>
        <w:rPr>
          <w:rFonts w:hint="eastAsia" w:ascii="仿宋_GB2312" w:eastAsia="仿宋_GB2312"/>
          <w:sz w:val="32"/>
          <w:szCs w:val="32"/>
        </w:rPr>
        <w:t>法定代表人（负责人）身份证明格式：</w:t>
      </w:r>
    </w:p>
    <w:p w14:paraId="03E6C792">
      <w:pPr>
        <w:pStyle w:val="29"/>
        <w:pageBreakBefore w:val="0"/>
        <w:kinsoku/>
        <w:wordWrap/>
        <w:overflowPunct/>
        <w:topLinePunct w:val="0"/>
        <w:bidi w:val="0"/>
        <w:snapToGrid w:val="0"/>
        <w:spacing w:before="0" w:beforeAutospacing="0" w:after="0" w:afterAutospacing="0" w:line="600" w:lineRule="exact"/>
        <w:ind w:firstLine="660" w:firstLineChars="150"/>
        <w:jc w:val="center"/>
        <w:outlineLvl w:val="1"/>
        <w:rPr>
          <w:rFonts w:hint="eastAsia" w:ascii="黑体" w:hAnsi="黑体" w:cs="黑体"/>
          <w:bCs/>
          <w:sz w:val="28"/>
          <w:szCs w:val="28"/>
        </w:rPr>
      </w:pPr>
      <w:r>
        <w:rPr>
          <w:rFonts w:hint="eastAsia" w:ascii="方正小标宋简体" w:hAnsi="方正小标宋简体" w:eastAsia="方正小标宋简体" w:cs="方正小标宋简体"/>
          <w:kern w:val="2"/>
          <w:sz w:val="44"/>
          <w:szCs w:val="44"/>
        </w:rPr>
        <w:t>法定代表人（负责人）身份证明</w:t>
      </w:r>
      <w:bookmarkEnd w:id="68"/>
      <w:bookmarkEnd w:id="69"/>
    </w:p>
    <w:p w14:paraId="4782D04E">
      <w:pPr>
        <w:pageBreakBefore w:val="0"/>
        <w:kinsoku/>
        <w:wordWrap/>
        <w:overflowPunct/>
        <w:topLinePunct w:val="0"/>
        <w:bidi w:val="0"/>
        <w:snapToGrid w:val="0"/>
        <w:spacing w:line="600" w:lineRule="exact"/>
        <w:ind w:firstLine="420" w:firstLineChars="200"/>
        <w:rPr>
          <w:rFonts w:ascii="宋体"/>
          <w:szCs w:val="21"/>
        </w:rPr>
      </w:pPr>
    </w:p>
    <w:p w14:paraId="007E16E2">
      <w:pPr>
        <w:pageBreakBefore w:val="0"/>
        <w:kinsoku/>
        <w:wordWrap/>
        <w:overflowPunct/>
        <w:topLinePunct w:val="0"/>
        <w:bidi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参与单位全称：</w:t>
      </w:r>
      <w:r>
        <w:rPr>
          <w:rFonts w:hint="eastAsia" w:ascii="仿宋_GB2312" w:eastAsia="仿宋_GB2312"/>
          <w:sz w:val="32"/>
          <w:szCs w:val="32"/>
          <w:u w:val="single"/>
        </w:rPr>
        <w:t xml:space="preserve">                                    </w:t>
      </w:r>
    </w:p>
    <w:p w14:paraId="004087B7">
      <w:pPr>
        <w:pageBreakBefore w:val="0"/>
        <w:kinsoku/>
        <w:wordWrap/>
        <w:overflowPunct/>
        <w:topLinePunct w:val="0"/>
        <w:bidi w:val="0"/>
        <w:snapToGrid w:val="0"/>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46A32005">
      <w:pPr>
        <w:pageBreakBefore w:val="0"/>
        <w:kinsoku/>
        <w:wordWrap/>
        <w:overflowPunct/>
        <w:topLinePunct w:val="0"/>
        <w:bidi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7B10290E">
      <w:pPr>
        <w:pageBreakBefore w:val="0"/>
        <w:kinsoku/>
        <w:wordWrap/>
        <w:overflowPunct/>
        <w:topLinePunct w:val="0"/>
        <w:bidi w:val="0"/>
        <w:snapToGrid w:val="0"/>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姓 名：</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p>
    <w:p w14:paraId="3603EC3B">
      <w:pPr>
        <w:pageBreakBefore w:val="0"/>
        <w:kinsoku/>
        <w:wordWrap/>
        <w:overflowPunct/>
        <w:topLinePunct w:val="0"/>
        <w:bidi w:val="0"/>
        <w:snapToGrid w:val="0"/>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职务：</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（参与单位名称）</w:t>
      </w:r>
      <w:r>
        <w:rPr>
          <w:rFonts w:hint="eastAsia" w:ascii="仿宋_GB2312" w:eastAsia="仿宋_GB2312"/>
          <w:sz w:val="32"/>
          <w:szCs w:val="32"/>
        </w:rPr>
        <w:t>的法定代表人（负责人）。</w:t>
      </w:r>
    </w:p>
    <w:p w14:paraId="4F8A6DDF">
      <w:pPr>
        <w:pageBreakBefore w:val="0"/>
        <w:kinsoku/>
        <w:wordWrap/>
        <w:overflowPunct/>
        <w:topLinePunct w:val="0"/>
        <w:bidi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特此证明。</w:t>
      </w:r>
    </w:p>
    <w:p w14:paraId="0CA5E712">
      <w:pPr>
        <w:pageBreakBefore w:val="0"/>
        <w:kinsoku/>
        <w:wordWrap/>
        <w:overflowPunct/>
        <w:topLinePunct w:val="0"/>
        <w:bidi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附：法定代表人（负责人）身份证复印件</w:t>
      </w:r>
    </w:p>
    <w:p w14:paraId="539E55F6">
      <w:pPr>
        <w:pageBreakBefore w:val="0"/>
        <w:kinsoku/>
        <w:wordWrap/>
        <w:overflowPunct/>
        <w:topLinePunct w:val="0"/>
        <w:bidi w:val="0"/>
        <w:snapToGrid w:val="0"/>
        <w:spacing w:line="600" w:lineRule="exact"/>
        <w:ind w:right="480" w:firstLine="1280" w:firstLineChars="400"/>
        <w:rPr>
          <w:rFonts w:ascii="仿宋_GB2312" w:eastAsia="仿宋_GB2312"/>
          <w:sz w:val="32"/>
          <w:szCs w:val="32"/>
        </w:rPr>
      </w:pPr>
    </w:p>
    <w:p w14:paraId="7C548F96">
      <w:pPr>
        <w:pageBreakBefore w:val="0"/>
        <w:kinsoku/>
        <w:wordWrap/>
        <w:overflowPunct/>
        <w:topLinePunct w:val="0"/>
        <w:bidi w:val="0"/>
        <w:snapToGrid w:val="0"/>
        <w:spacing w:line="600" w:lineRule="exact"/>
        <w:ind w:right="480" w:firstLine="1280" w:firstLineChars="400"/>
        <w:rPr>
          <w:rFonts w:ascii="仿宋_GB2312" w:eastAsia="仿宋_GB2312"/>
          <w:sz w:val="32"/>
          <w:szCs w:val="32"/>
        </w:rPr>
      </w:pPr>
    </w:p>
    <w:p w14:paraId="531569CC">
      <w:pPr>
        <w:pageBreakBefore w:val="0"/>
        <w:kinsoku/>
        <w:wordWrap/>
        <w:overflowPunct/>
        <w:topLinePunct w:val="0"/>
        <w:bidi w:val="0"/>
        <w:snapToGrid w:val="0"/>
        <w:spacing w:line="600" w:lineRule="exact"/>
        <w:ind w:right="480" w:firstLine="1280" w:firstLineChars="400"/>
        <w:rPr>
          <w:rFonts w:ascii="仿宋_GB2312" w:eastAsia="仿宋_GB2312"/>
          <w:sz w:val="32"/>
          <w:szCs w:val="32"/>
          <w:u w:val="single"/>
        </w:rPr>
      </w:pPr>
      <w:r>
        <w:rPr>
          <w:rFonts w:hint="eastAsia" w:ascii="仿宋_GB2312" w:eastAsia="仿宋_GB2312"/>
          <w:sz w:val="32"/>
          <w:szCs w:val="32"/>
        </w:rPr>
        <w:t>参与单位全称（盖单位公章）：</w:t>
      </w:r>
      <w:r>
        <w:rPr>
          <w:rFonts w:hint="eastAsia" w:ascii="仿宋_GB2312" w:eastAsia="仿宋_GB2312"/>
          <w:sz w:val="32"/>
          <w:szCs w:val="32"/>
          <w:u w:val="single"/>
        </w:rPr>
        <w:t xml:space="preserve">                 </w:t>
      </w:r>
    </w:p>
    <w:p w14:paraId="77889E22">
      <w:pPr>
        <w:pageBreakBefore w:val="0"/>
        <w:kinsoku/>
        <w:wordWrap/>
        <w:overflowPunct/>
        <w:topLinePunct w:val="0"/>
        <w:bidi w:val="0"/>
        <w:snapToGrid w:val="0"/>
        <w:spacing w:line="600" w:lineRule="exact"/>
        <w:ind w:right="1280" w:firstLine="640" w:firstLineChars="200"/>
        <w:jc w:val="right"/>
        <w:rPr>
          <w:rFonts w:ascii="仿宋_GB2312" w:eastAsia="仿宋_GB2312"/>
          <w:sz w:val="32"/>
          <w:szCs w:val="32"/>
        </w:rPr>
      </w:pPr>
      <w:r>
        <w:rPr>
          <w:rFonts w:hint="eastAsia" w:ascii="仿宋_GB2312" w:eastAsia="仿宋_GB2312"/>
          <w:sz w:val="32"/>
          <w:szCs w:val="32"/>
        </w:rPr>
        <w:t xml:space="preserve">年       月       日 </w:t>
      </w:r>
      <w:bookmarkStart w:id="70" w:name="_Toc472608101"/>
      <w:r>
        <w:rPr>
          <w:rFonts w:hint="eastAsia" w:ascii="仿宋_GB2312" w:eastAsia="仿宋_GB2312"/>
          <w:sz w:val="32"/>
          <w:szCs w:val="32"/>
        </w:rPr>
        <w:t xml:space="preserve"> </w:t>
      </w:r>
      <w:bookmarkEnd w:id="70"/>
      <w:bookmarkStart w:id="71" w:name="_Toc13236"/>
      <w:bookmarkStart w:id="72" w:name="_Toc518487362"/>
      <w:bookmarkStart w:id="73" w:name="_Toc217446084"/>
    </w:p>
    <w:p w14:paraId="4F277530">
      <w:pPr>
        <w:pageBreakBefore w:val="0"/>
        <w:kinsoku/>
        <w:wordWrap/>
        <w:overflowPunct/>
        <w:topLinePunct w:val="0"/>
        <w:bidi w:val="0"/>
        <w:snapToGrid w:val="0"/>
        <w:spacing w:line="600" w:lineRule="exact"/>
        <w:rPr>
          <w:rFonts w:ascii="宋体"/>
          <w:szCs w:val="21"/>
        </w:rPr>
      </w:pPr>
      <w:r>
        <w:rPr>
          <w:rFonts w:hint="eastAsia" w:ascii="宋体"/>
          <w:szCs w:val="21"/>
        </w:rPr>
        <w:br w:type="page"/>
      </w:r>
    </w:p>
    <w:p w14:paraId="37C78F93">
      <w:pPr>
        <w:pageBreakBefore w:val="0"/>
        <w:kinsoku/>
        <w:wordWrap/>
        <w:overflowPunct/>
        <w:topLinePunct w:val="0"/>
        <w:bidi w:val="0"/>
        <w:snapToGrid w:val="0"/>
        <w:spacing w:line="600" w:lineRule="exact"/>
        <w:jc w:val="left"/>
        <w:rPr>
          <w:rFonts w:ascii="仿宋_GB2312" w:eastAsia="仿宋_GB2312"/>
          <w:sz w:val="32"/>
          <w:szCs w:val="32"/>
        </w:rPr>
      </w:pPr>
      <w:r>
        <w:rPr>
          <w:rFonts w:hint="eastAsia" w:ascii="仿宋_GB2312" w:eastAsia="仿宋_GB2312"/>
          <w:sz w:val="32"/>
          <w:szCs w:val="32"/>
        </w:rPr>
        <w:t>法定代表人（负责人）授权书格式</w:t>
      </w:r>
    </w:p>
    <w:p w14:paraId="7DDBCBC5">
      <w:pPr>
        <w:pStyle w:val="6"/>
        <w:pageBreakBefore w:val="0"/>
        <w:kinsoku/>
        <w:wordWrap/>
        <w:overflowPunct/>
        <w:topLinePunct w:val="0"/>
        <w:bidi w:val="0"/>
        <w:snapToGrid w:val="0"/>
        <w:spacing w:after="0" w:line="600" w:lineRule="exact"/>
      </w:pPr>
    </w:p>
    <w:p w14:paraId="74254ECE">
      <w:pPr>
        <w:pageBreakBefore w:val="0"/>
        <w:kinsoku/>
        <w:wordWrap/>
        <w:overflowPunct/>
        <w:topLinePunct w:val="0"/>
        <w:bidi w:val="0"/>
        <w:snapToGrid w:val="0"/>
        <w:spacing w:line="600" w:lineRule="exact"/>
        <w:ind w:firstLine="880" w:firstLineChars="200"/>
        <w:jc w:val="center"/>
        <w:rPr>
          <w:rFonts w:hint="eastAsia" w:ascii="黑体" w:hAnsi="黑体" w:cs="黑体"/>
          <w:sz w:val="28"/>
          <w:szCs w:val="28"/>
        </w:rPr>
      </w:pPr>
      <w:r>
        <w:rPr>
          <w:rFonts w:hint="eastAsia" w:ascii="方正小标宋简体" w:hAnsi="方正小标宋简体" w:eastAsia="方正小标宋简体" w:cs="方正小标宋简体"/>
          <w:sz w:val="44"/>
          <w:szCs w:val="44"/>
        </w:rPr>
        <w:t>法定代表人（负责人）授权书</w:t>
      </w:r>
      <w:bookmarkEnd w:id="71"/>
      <w:bookmarkEnd w:id="72"/>
    </w:p>
    <w:p w14:paraId="564D39FC">
      <w:pPr>
        <w:pageBreakBefore w:val="0"/>
        <w:kinsoku/>
        <w:wordWrap/>
        <w:overflowPunct/>
        <w:topLinePunct w:val="0"/>
        <w:bidi w:val="0"/>
        <w:snapToGrid w:val="0"/>
        <w:spacing w:line="600" w:lineRule="exact"/>
        <w:rPr>
          <w:rFonts w:ascii="宋体"/>
          <w:szCs w:val="21"/>
        </w:rPr>
      </w:pPr>
    </w:p>
    <w:p w14:paraId="6BB649D7">
      <w:pPr>
        <w:pageBreakBefore w:val="0"/>
        <w:kinsoku/>
        <w:wordWrap/>
        <w:overflowPunct/>
        <w:topLinePunct w:val="0"/>
        <w:bidi w:val="0"/>
        <w:snapToGrid w:val="0"/>
        <w:spacing w:line="600" w:lineRule="exact"/>
        <w:rPr>
          <w:rFonts w:ascii="仿宋_GB2312" w:eastAsia="仿宋_GB2312"/>
          <w:sz w:val="32"/>
          <w:szCs w:val="32"/>
        </w:rPr>
      </w:pPr>
      <w:r>
        <w:rPr>
          <w:rFonts w:hint="eastAsia" w:ascii="仿宋_GB2312" w:eastAsia="仿宋_GB2312"/>
          <w:sz w:val="32"/>
          <w:szCs w:val="32"/>
          <w:lang w:eastAsia="zh-CN"/>
        </w:rPr>
        <w:t>四川省犍为师范学校附属小学</w:t>
      </w:r>
      <w:r>
        <w:rPr>
          <w:rFonts w:hint="eastAsia" w:ascii="仿宋_GB2312" w:eastAsia="仿宋_GB2312"/>
          <w:sz w:val="32"/>
          <w:szCs w:val="32"/>
        </w:rPr>
        <w:t>：</w:t>
      </w:r>
    </w:p>
    <w:p w14:paraId="4B3BC061">
      <w:pPr>
        <w:pageBreakBefore w:val="0"/>
        <w:kinsoku/>
        <w:wordWrap/>
        <w:overflowPunct/>
        <w:topLinePunct w:val="0"/>
        <w:bidi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本授权声明：</w:t>
      </w:r>
      <w:r>
        <w:rPr>
          <w:rFonts w:hint="eastAsia" w:ascii="仿宋_GB2312" w:eastAsia="仿宋_GB2312"/>
          <w:sz w:val="32"/>
          <w:szCs w:val="32"/>
          <w:u w:val="single"/>
        </w:rPr>
        <w:t>　　　　　　　　　</w:t>
      </w:r>
      <w:r>
        <w:rPr>
          <w:rFonts w:hint="eastAsia" w:ascii="仿宋_GB2312" w:eastAsia="仿宋_GB2312"/>
          <w:sz w:val="32"/>
          <w:szCs w:val="32"/>
        </w:rPr>
        <w:t>（参与单位名称）</w:t>
      </w:r>
      <w:r>
        <w:rPr>
          <w:rFonts w:hint="eastAsia" w:ascii="仿宋_GB2312" w:eastAsia="仿宋_GB2312"/>
          <w:sz w:val="32"/>
          <w:szCs w:val="32"/>
          <w:u w:val="single"/>
        </w:rPr>
        <w:t>　　　　　　</w:t>
      </w:r>
      <w:r>
        <w:rPr>
          <w:rFonts w:hint="eastAsia" w:ascii="仿宋_GB2312" w:eastAsia="仿宋_GB2312"/>
          <w:sz w:val="32"/>
          <w:szCs w:val="32"/>
        </w:rPr>
        <w:t>（法定代表人(负责人)姓名、职务）授权</w:t>
      </w:r>
      <w:r>
        <w:rPr>
          <w:rFonts w:hint="eastAsia" w:ascii="仿宋_GB2312" w:eastAsia="仿宋_GB2312"/>
          <w:sz w:val="32"/>
          <w:szCs w:val="32"/>
          <w:u w:val="single"/>
        </w:rPr>
        <w:t xml:space="preserve">              </w:t>
      </w:r>
      <w:r>
        <w:rPr>
          <w:rFonts w:hint="eastAsia" w:ascii="仿宋_GB2312" w:eastAsia="仿宋_GB2312"/>
          <w:sz w:val="32"/>
          <w:szCs w:val="32"/>
        </w:rPr>
        <w:t>（被授权人姓名）为我方“</w:t>
      </w:r>
      <w:r>
        <w:rPr>
          <w:rFonts w:hint="eastAsia" w:ascii="仿宋_GB2312" w:eastAsia="仿宋_GB2312"/>
          <w:sz w:val="32"/>
          <w:szCs w:val="32"/>
          <w:u w:val="single"/>
        </w:rPr>
        <w:t>　　　　　　　　　　　　</w:t>
      </w:r>
      <w:r>
        <w:rPr>
          <w:rFonts w:hint="eastAsia" w:ascii="仿宋_GB2312" w:eastAsia="仿宋_GB2312"/>
          <w:sz w:val="32"/>
          <w:szCs w:val="32"/>
        </w:rPr>
        <w:t>”项目（采购编号：</w:t>
      </w:r>
      <w:r>
        <w:rPr>
          <w:rFonts w:hint="eastAsia" w:ascii="仿宋_GB2312" w:eastAsia="仿宋_GB2312"/>
          <w:sz w:val="32"/>
          <w:szCs w:val="32"/>
          <w:u w:val="single"/>
        </w:rPr>
        <w:t>　　　　　　　</w:t>
      </w:r>
      <w:r>
        <w:rPr>
          <w:rFonts w:hint="eastAsia" w:ascii="仿宋_GB2312" w:eastAsia="仿宋_GB2312"/>
          <w:sz w:val="32"/>
          <w:szCs w:val="32"/>
        </w:rPr>
        <w:t>）谈判活动的合法代表，以我方名义全权处理该项目有关谈判、签订合同以及执行合同等一切事宜。</w:t>
      </w:r>
    </w:p>
    <w:p w14:paraId="4E502C11">
      <w:pPr>
        <w:pageBreakBefore w:val="0"/>
        <w:kinsoku/>
        <w:wordWrap/>
        <w:overflowPunct/>
        <w:topLinePunct w:val="0"/>
        <w:bidi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74B7786A">
      <w:pPr>
        <w:pageBreakBefore w:val="0"/>
        <w:kinsoku/>
        <w:wordWrap/>
        <w:overflowPunct/>
        <w:topLinePunct w:val="0"/>
        <w:bidi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附：被授权人身份证复印件</w:t>
      </w:r>
    </w:p>
    <w:p w14:paraId="3D937E75">
      <w:pPr>
        <w:pageBreakBefore w:val="0"/>
        <w:kinsoku/>
        <w:wordWrap/>
        <w:overflowPunct/>
        <w:topLinePunct w:val="0"/>
        <w:bidi w:val="0"/>
        <w:snapToGrid w:val="0"/>
        <w:spacing w:line="600" w:lineRule="exact"/>
        <w:rPr>
          <w:rFonts w:ascii="宋体"/>
          <w:szCs w:val="21"/>
        </w:rPr>
      </w:pPr>
    </w:p>
    <w:p w14:paraId="5E672365">
      <w:pPr>
        <w:pageBreakBefore w:val="0"/>
        <w:kinsoku/>
        <w:wordWrap/>
        <w:overflowPunct/>
        <w:topLinePunct w:val="0"/>
        <w:bidi w:val="0"/>
        <w:snapToGrid w:val="0"/>
        <w:spacing w:line="600" w:lineRule="exact"/>
        <w:rPr>
          <w:rFonts w:ascii="宋体"/>
          <w:szCs w:val="21"/>
        </w:rPr>
      </w:pPr>
    </w:p>
    <w:p w14:paraId="1A81F2CA">
      <w:pPr>
        <w:pStyle w:val="5"/>
        <w:pageBreakBefore w:val="0"/>
        <w:kinsoku/>
        <w:wordWrap/>
        <w:overflowPunct/>
        <w:topLinePunct w:val="0"/>
        <w:bidi w:val="0"/>
        <w:snapToGrid w:val="0"/>
        <w:spacing w:line="600" w:lineRule="exact"/>
        <w:ind w:firstLine="420"/>
      </w:pPr>
    </w:p>
    <w:p w14:paraId="35C5D22D">
      <w:pPr>
        <w:pageBreakBefore w:val="0"/>
        <w:kinsoku/>
        <w:wordWrap/>
        <w:overflowPunct/>
        <w:topLinePunct w:val="0"/>
        <w:bidi w:val="0"/>
        <w:snapToGrid w:val="0"/>
        <w:spacing w:line="600" w:lineRule="exact"/>
        <w:jc w:val="left"/>
        <w:rPr>
          <w:rFonts w:ascii="仿宋_GB2312" w:eastAsia="仿宋_GB2312"/>
          <w:sz w:val="32"/>
          <w:szCs w:val="32"/>
        </w:rPr>
      </w:pPr>
      <w:r>
        <w:rPr>
          <w:rFonts w:hint="eastAsia" w:ascii="仿宋_GB2312" w:eastAsia="仿宋_GB2312"/>
          <w:sz w:val="32"/>
          <w:szCs w:val="32"/>
        </w:rPr>
        <w:t>参与单位全称（盖单位公章）：</w:t>
      </w:r>
      <w:r>
        <w:rPr>
          <w:rFonts w:hint="eastAsia" w:ascii="仿宋_GB2312" w:eastAsia="仿宋_GB2312"/>
          <w:sz w:val="32"/>
          <w:szCs w:val="32"/>
          <w:u w:val="single"/>
        </w:rPr>
        <w:t xml:space="preserve">                               </w:t>
      </w:r>
    </w:p>
    <w:p w14:paraId="011CE530">
      <w:pPr>
        <w:pageBreakBefore w:val="0"/>
        <w:kinsoku/>
        <w:wordWrap/>
        <w:overflowPunct/>
        <w:topLinePunct w:val="0"/>
        <w:bidi w:val="0"/>
        <w:snapToGrid w:val="0"/>
        <w:spacing w:line="600" w:lineRule="exact"/>
        <w:jc w:val="left"/>
        <w:rPr>
          <w:rFonts w:ascii="仿宋_GB2312" w:eastAsia="仿宋_GB2312"/>
          <w:sz w:val="32"/>
          <w:szCs w:val="32"/>
        </w:rPr>
      </w:pPr>
      <w:r>
        <w:rPr>
          <w:rFonts w:hint="eastAsia" w:ascii="仿宋_GB2312" w:eastAsia="仿宋_GB2312"/>
          <w:sz w:val="32"/>
          <w:szCs w:val="32"/>
        </w:rPr>
        <w:t>法定代表人（负责人）（签字）</w:t>
      </w:r>
      <w:r>
        <w:rPr>
          <w:rFonts w:hint="eastAsia" w:ascii="仿宋_GB2312" w:eastAsia="仿宋_GB2312"/>
          <w:sz w:val="32"/>
          <w:szCs w:val="32"/>
          <w:u w:val="single"/>
        </w:rPr>
        <w:t xml:space="preserve">:                            </w:t>
      </w:r>
      <w:r>
        <w:rPr>
          <w:rFonts w:hint="eastAsia" w:ascii="仿宋_GB2312" w:eastAsia="仿宋_GB2312"/>
          <w:sz w:val="32"/>
          <w:szCs w:val="32"/>
        </w:rPr>
        <w:t>　　　　　　　　　　　　　　　</w:t>
      </w:r>
    </w:p>
    <w:p w14:paraId="4C9117F0">
      <w:pPr>
        <w:pageBreakBefore w:val="0"/>
        <w:kinsoku/>
        <w:wordWrap/>
        <w:overflowPunct/>
        <w:topLinePunct w:val="0"/>
        <w:bidi w:val="0"/>
        <w:snapToGrid w:val="0"/>
        <w:spacing w:line="600" w:lineRule="exact"/>
        <w:jc w:val="left"/>
        <w:rPr>
          <w:rFonts w:ascii="仿宋_GB2312" w:eastAsia="仿宋_GB2312"/>
          <w:sz w:val="32"/>
          <w:szCs w:val="32"/>
          <w:u w:val="single"/>
        </w:rPr>
      </w:pPr>
      <w:r>
        <w:rPr>
          <w:rFonts w:hint="eastAsia" w:ascii="仿宋_GB2312" w:eastAsia="仿宋_GB2312"/>
          <w:sz w:val="32"/>
          <w:szCs w:val="32"/>
        </w:rPr>
        <w:t>授权代表（签字）：</w:t>
      </w:r>
      <w:r>
        <w:rPr>
          <w:rFonts w:hint="eastAsia" w:ascii="仿宋_GB2312" w:eastAsia="仿宋_GB2312"/>
          <w:sz w:val="32"/>
          <w:szCs w:val="32"/>
          <w:u w:val="single"/>
        </w:rPr>
        <w:t xml:space="preserve">                                       </w:t>
      </w:r>
    </w:p>
    <w:p w14:paraId="75502030">
      <w:pPr>
        <w:pageBreakBefore w:val="0"/>
        <w:kinsoku/>
        <w:wordWrap/>
        <w:overflowPunct/>
        <w:topLinePunct w:val="0"/>
        <w:bidi w:val="0"/>
        <w:snapToGrid w:val="0"/>
        <w:spacing w:line="600" w:lineRule="exact"/>
        <w:jc w:val="lef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u w:val="single"/>
        </w:rPr>
        <w:t>　　　　年　　　　月　　　　日</w:t>
      </w:r>
      <w:r>
        <w:rPr>
          <w:rFonts w:hint="eastAsia" w:ascii="仿宋_GB2312" w:eastAsia="仿宋_GB2312"/>
          <w:sz w:val="32"/>
          <w:szCs w:val="32"/>
        </w:rPr>
        <w:t>。</w:t>
      </w:r>
    </w:p>
    <w:p w14:paraId="1DEFBA1D">
      <w:pPr>
        <w:pageBreakBefore w:val="0"/>
        <w:kinsoku/>
        <w:wordWrap/>
        <w:overflowPunct/>
        <w:topLinePunct w:val="0"/>
        <w:bidi w:val="0"/>
        <w:snapToGrid w:val="0"/>
        <w:spacing w:line="600" w:lineRule="exact"/>
        <w:jc w:val="left"/>
        <w:rPr>
          <w:rFonts w:ascii="仿宋_GB2312" w:eastAsia="仿宋_GB2312"/>
          <w:b/>
          <w:sz w:val="32"/>
          <w:szCs w:val="32"/>
        </w:rPr>
      </w:pPr>
    </w:p>
    <w:bookmarkEnd w:id="73"/>
    <w:p w14:paraId="247C7E07">
      <w:pPr>
        <w:pageBreakBefore w:val="0"/>
        <w:kinsoku/>
        <w:wordWrap/>
        <w:overflowPunct/>
        <w:topLinePunct w:val="0"/>
        <w:bidi w:val="0"/>
        <w:snapToGrid w:val="0"/>
        <w:spacing w:line="600" w:lineRule="exact"/>
        <w:jc w:val="left"/>
      </w:pPr>
      <w:r>
        <w:rPr>
          <w:rFonts w:hint="eastAsia" w:ascii="仿宋_GB2312" w:eastAsia="仿宋_GB2312"/>
          <w:sz w:val="32"/>
          <w:szCs w:val="32"/>
        </w:rPr>
        <w:t>注：如法定代表人或负责人参加本项目，可不提供此授权书。</w:t>
      </w:r>
    </w:p>
    <w:p w14:paraId="0D004095">
      <w:pPr>
        <w:pageBreakBefore w:val="0"/>
        <w:widowControl/>
        <w:kinsoku/>
        <w:wordWrap/>
        <w:overflowPunct/>
        <w:topLinePunct w:val="0"/>
        <w:bidi w:val="0"/>
        <w:snapToGrid w:val="0"/>
        <w:spacing w:line="600" w:lineRule="exact"/>
        <w:jc w:val="left"/>
        <w:rPr>
          <w:rFonts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服务应答表格式</w:t>
      </w:r>
    </w:p>
    <w:p w14:paraId="5DBA53AB">
      <w:pPr>
        <w:pStyle w:val="3"/>
        <w:pageBreakBefore w:val="0"/>
        <w:kinsoku/>
        <w:wordWrap/>
        <w:overflowPunct/>
        <w:topLinePunct w:val="0"/>
        <w:bidi w:val="0"/>
        <w:snapToGrid w:val="0"/>
        <w:spacing w:before="0" w:after="0" w:line="600" w:lineRule="exact"/>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服务应答表</w:t>
      </w:r>
    </w:p>
    <w:tbl>
      <w:tblPr>
        <w:tblStyle w:val="15"/>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485"/>
        <w:gridCol w:w="1912"/>
        <w:gridCol w:w="2416"/>
      </w:tblGrid>
      <w:tr w14:paraId="7E10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vAlign w:val="center"/>
          </w:tcPr>
          <w:p w14:paraId="5028A229">
            <w:pPr>
              <w:pageBreakBefore w:val="0"/>
              <w:kinsoku/>
              <w:wordWrap/>
              <w:overflowPunct/>
              <w:topLinePunct w:val="0"/>
              <w:bidi w:val="0"/>
              <w:snapToGrid w:val="0"/>
              <w:spacing w:line="600" w:lineRule="exact"/>
              <w:jc w:val="center"/>
              <w:rPr>
                <w:rFonts w:ascii="宋体"/>
                <w:sz w:val="24"/>
              </w:rPr>
            </w:pPr>
            <w:r>
              <w:rPr>
                <w:rFonts w:hint="eastAsia" w:ascii="宋体"/>
                <w:sz w:val="24"/>
              </w:rPr>
              <w:t>序号</w:t>
            </w:r>
          </w:p>
        </w:tc>
        <w:tc>
          <w:tcPr>
            <w:tcW w:w="2485" w:type="dxa"/>
            <w:vAlign w:val="center"/>
          </w:tcPr>
          <w:p w14:paraId="41E1CCF8">
            <w:pPr>
              <w:pageBreakBefore w:val="0"/>
              <w:kinsoku/>
              <w:wordWrap/>
              <w:overflowPunct/>
              <w:topLinePunct w:val="0"/>
              <w:bidi w:val="0"/>
              <w:snapToGrid w:val="0"/>
              <w:spacing w:line="600" w:lineRule="exact"/>
              <w:jc w:val="center"/>
              <w:rPr>
                <w:rFonts w:ascii="宋体"/>
                <w:sz w:val="24"/>
              </w:rPr>
            </w:pPr>
            <w:r>
              <w:rPr>
                <w:rFonts w:hint="eastAsia" w:ascii="宋体"/>
                <w:sz w:val="24"/>
              </w:rPr>
              <w:t>谈判文件要求</w:t>
            </w:r>
          </w:p>
        </w:tc>
        <w:tc>
          <w:tcPr>
            <w:tcW w:w="1912" w:type="dxa"/>
            <w:vAlign w:val="center"/>
          </w:tcPr>
          <w:p w14:paraId="0E812A47">
            <w:pPr>
              <w:pageBreakBefore w:val="0"/>
              <w:kinsoku/>
              <w:wordWrap/>
              <w:overflowPunct/>
              <w:topLinePunct w:val="0"/>
              <w:bidi w:val="0"/>
              <w:snapToGrid w:val="0"/>
              <w:spacing w:line="600" w:lineRule="exact"/>
              <w:jc w:val="center"/>
              <w:rPr>
                <w:rFonts w:ascii="宋体"/>
                <w:sz w:val="24"/>
              </w:rPr>
            </w:pPr>
            <w:r>
              <w:rPr>
                <w:rFonts w:hint="eastAsia" w:ascii="宋体"/>
                <w:sz w:val="24"/>
              </w:rPr>
              <w:t>响应描述</w:t>
            </w:r>
          </w:p>
        </w:tc>
        <w:tc>
          <w:tcPr>
            <w:tcW w:w="2416" w:type="dxa"/>
            <w:vAlign w:val="center"/>
          </w:tcPr>
          <w:p w14:paraId="0C3F93A7">
            <w:pPr>
              <w:pageBreakBefore w:val="0"/>
              <w:kinsoku/>
              <w:wordWrap/>
              <w:overflowPunct/>
              <w:topLinePunct w:val="0"/>
              <w:bidi w:val="0"/>
              <w:snapToGrid w:val="0"/>
              <w:spacing w:line="600" w:lineRule="exact"/>
              <w:jc w:val="center"/>
              <w:rPr>
                <w:rFonts w:ascii="宋体"/>
                <w:sz w:val="24"/>
              </w:rPr>
            </w:pPr>
            <w:r>
              <w:rPr>
                <w:rFonts w:hint="eastAsia" w:ascii="宋体"/>
                <w:sz w:val="24"/>
              </w:rPr>
              <w:t>备注</w:t>
            </w:r>
          </w:p>
        </w:tc>
      </w:tr>
      <w:tr w14:paraId="1EEE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14:paraId="4CC5CF40">
            <w:pPr>
              <w:pageBreakBefore w:val="0"/>
              <w:kinsoku/>
              <w:wordWrap/>
              <w:overflowPunct/>
              <w:topLinePunct w:val="0"/>
              <w:bidi w:val="0"/>
              <w:snapToGrid w:val="0"/>
              <w:spacing w:line="600" w:lineRule="exact"/>
              <w:jc w:val="center"/>
              <w:rPr>
                <w:rFonts w:ascii="宋体"/>
                <w:sz w:val="24"/>
              </w:rPr>
            </w:pPr>
          </w:p>
        </w:tc>
        <w:tc>
          <w:tcPr>
            <w:tcW w:w="2485" w:type="dxa"/>
          </w:tcPr>
          <w:p w14:paraId="5BACA2E4">
            <w:pPr>
              <w:pageBreakBefore w:val="0"/>
              <w:kinsoku/>
              <w:wordWrap/>
              <w:overflowPunct/>
              <w:topLinePunct w:val="0"/>
              <w:bidi w:val="0"/>
              <w:snapToGrid w:val="0"/>
              <w:spacing w:line="600" w:lineRule="exact"/>
              <w:jc w:val="center"/>
              <w:rPr>
                <w:rFonts w:ascii="宋体"/>
                <w:sz w:val="24"/>
              </w:rPr>
            </w:pPr>
          </w:p>
        </w:tc>
        <w:tc>
          <w:tcPr>
            <w:tcW w:w="1912" w:type="dxa"/>
          </w:tcPr>
          <w:p w14:paraId="08F1DA1A">
            <w:pPr>
              <w:pageBreakBefore w:val="0"/>
              <w:kinsoku/>
              <w:wordWrap/>
              <w:overflowPunct/>
              <w:topLinePunct w:val="0"/>
              <w:bidi w:val="0"/>
              <w:snapToGrid w:val="0"/>
              <w:spacing w:line="600" w:lineRule="exact"/>
              <w:jc w:val="center"/>
              <w:rPr>
                <w:rFonts w:ascii="宋体"/>
                <w:sz w:val="24"/>
              </w:rPr>
            </w:pPr>
          </w:p>
        </w:tc>
        <w:tc>
          <w:tcPr>
            <w:tcW w:w="2416" w:type="dxa"/>
          </w:tcPr>
          <w:p w14:paraId="4148BFAF">
            <w:pPr>
              <w:pageBreakBefore w:val="0"/>
              <w:kinsoku/>
              <w:wordWrap/>
              <w:overflowPunct/>
              <w:topLinePunct w:val="0"/>
              <w:bidi w:val="0"/>
              <w:snapToGrid w:val="0"/>
              <w:spacing w:line="600" w:lineRule="exact"/>
              <w:jc w:val="center"/>
              <w:rPr>
                <w:rFonts w:ascii="宋体"/>
                <w:sz w:val="24"/>
              </w:rPr>
            </w:pPr>
          </w:p>
        </w:tc>
      </w:tr>
      <w:tr w14:paraId="0F42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14:paraId="3A9E1092">
            <w:pPr>
              <w:pageBreakBefore w:val="0"/>
              <w:kinsoku/>
              <w:wordWrap/>
              <w:overflowPunct/>
              <w:topLinePunct w:val="0"/>
              <w:bidi w:val="0"/>
              <w:snapToGrid w:val="0"/>
              <w:spacing w:line="600" w:lineRule="exact"/>
              <w:rPr>
                <w:rFonts w:ascii="宋体"/>
                <w:sz w:val="24"/>
              </w:rPr>
            </w:pPr>
          </w:p>
        </w:tc>
        <w:tc>
          <w:tcPr>
            <w:tcW w:w="2485" w:type="dxa"/>
          </w:tcPr>
          <w:p w14:paraId="5CEE93CB">
            <w:pPr>
              <w:pageBreakBefore w:val="0"/>
              <w:kinsoku/>
              <w:wordWrap/>
              <w:overflowPunct/>
              <w:topLinePunct w:val="0"/>
              <w:bidi w:val="0"/>
              <w:snapToGrid w:val="0"/>
              <w:spacing w:line="600" w:lineRule="exact"/>
              <w:rPr>
                <w:rFonts w:ascii="宋体"/>
                <w:sz w:val="24"/>
              </w:rPr>
            </w:pPr>
          </w:p>
        </w:tc>
        <w:tc>
          <w:tcPr>
            <w:tcW w:w="1912" w:type="dxa"/>
          </w:tcPr>
          <w:p w14:paraId="47A8BC05">
            <w:pPr>
              <w:pageBreakBefore w:val="0"/>
              <w:kinsoku/>
              <w:wordWrap/>
              <w:overflowPunct/>
              <w:topLinePunct w:val="0"/>
              <w:bidi w:val="0"/>
              <w:snapToGrid w:val="0"/>
              <w:spacing w:line="600" w:lineRule="exact"/>
              <w:rPr>
                <w:rFonts w:ascii="宋体"/>
                <w:sz w:val="24"/>
              </w:rPr>
            </w:pPr>
          </w:p>
        </w:tc>
        <w:tc>
          <w:tcPr>
            <w:tcW w:w="2416" w:type="dxa"/>
          </w:tcPr>
          <w:p w14:paraId="2F41ED86">
            <w:pPr>
              <w:pageBreakBefore w:val="0"/>
              <w:kinsoku/>
              <w:wordWrap/>
              <w:overflowPunct/>
              <w:topLinePunct w:val="0"/>
              <w:bidi w:val="0"/>
              <w:snapToGrid w:val="0"/>
              <w:spacing w:line="600" w:lineRule="exact"/>
              <w:rPr>
                <w:rFonts w:ascii="宋体"/>
                <w:sz w:val="24"/>
              </w:rPr>
            </w:pPr>
          </w:p>
        </w:tc>
      </w:tr>
      <w:tr w14:paraId="6DEC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14:paraId="7258544C">
            <w:pPr>
              <w:pageBreakBefore w:val="0"/>
              <w:kinsoku/>
              <w:wordWrap/>
              <w:overflowPunct/>
              <w:topLinePunct w:val="0"/>
              <w:bidi w:val="0"/>
              <w:snapToGrid w:val="0"/>
              <w:spacing w:line="600" w:lineRule="exact"/>
              <w:rPr>
                <w:rFonts w:ascii="宋体"/>
                <w:sz w:val="24"/>
              </w:rPr>
            </w:pPr>
          </w:p>
        </w:tc>
        <w:tc>
          <w:tcPr>
            <w:tcW w:w="2485" w:type="dxa"/>
          </w:tcPr>
          <w:p w14:paraId="41A6DD2C">
            <w:pPr>
              <w:pageBreakBefore w:val="0"/>
              <w:kinsoku/>
              <w:wordWrap/>
              <w:overflowPunct/>
              <w:topLinePunct w:val="0"/>
              <w:bidi w:val="0"/>
              <w:snapToGrid w:val="0"/>
              <w:spacing w:line="600" w:lineRule="exact"/>
              <w:rPr>
                <w:rFonts w:ascii="宋体"/>
                <w:sz w:val="24"/>
              </w:rPr>
            </w:pPr>
          </w:p>
        </w:tc>
        <w:tc>
          <w:tcPr>
            <w:tcW w:w="1912" w:type="dxa"/>
          </w:tcPr>
          <w:p w14:paraId="397FBAAD">
            <w:pPr>
              <w:pageBreakBefore w:val="0"/>
              <w:kinsoku/>
              <w:wordWrap/>
              <w:overflowPunct/>
              <w:topLinePunct w:val="0"/>
              <w:bidi w:val="0"/>
              <w:snapToGrid w:val="0"/>
              <w:spacing w:line="600" w:lineRule="exact"/>
              <w:rPr>
                <w:rFonts w:ascii="宋体"/>
                <w:sz w:val="24"/>
              </w:rPr>
            </w:pPr>
          </w:p>
        </w:tc>
        <w:tc>
          <w:tcPr>
            <w:tcW w:w="2416" w:type="dxa"/>
          </w:tcPr>
          <w:p w14:paraId="74294294">
            <w:pPr>
              <w:pageBreakBefore w:val="0"/>
              <w:kinsoku/>
              <w:wordWrap/>
              <w:overflowPunct/>
              <w:topLinePunct w:val="0"/>
              <w:bidi w:val="0"/>
              <w:snapToGrid w:val="0"/>
              <w:spacing w:line="600" w:lineRule="exact"/>
              <w:rPr>
                <w:rFonts w:ascii="宋体"/>
                <w:sz w:val="24"/>
              </w:rPr>
            </w:pPr>
          </w:p>
        </w:tc>
      </w:tr>
      <w:tr w14:paraId="2465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14:paraId="18F11965">
            <w:pPr>
              <w:pageBreakBefore w:val="0"/>
              <w:kinsoku/>
              <w:wordWrap/>
              <w:overflowPunct/>
              <w:topLinePunct w:val="0"/>
              <w:bidi w:val="0"/>
              <w:snapToGrid w:val="0"/>
              <w:spacing w:line="600" w:lineRule="exact"/>
              <w:rPr>
                <w:rFonts w:ascii="宋体"/>
                <w:sz w:val="24"/>
              </w:rPr>
            </w:pPr>
          </w:p>
        </w:tc>
        <w:tc>
          <w:tcPr>
            <w:tcW w:w="2485" w:type="dxa"/>
          </w:tcPr>
          <w:p w14:paraId="7467EB2A">
            <w:pPr>
              <w:pageBreakBefore w:val="0"/>
              <w:kinsoku/>
              <w:wordWrap/>
              <w:overflowPunct/>
              <w:topLinePunct w:val="0"/>
              <w:bidi w:val="0"/>
              <w:snapToGrid w:val="0"/>
              <w:spacing w:line="600" w:lineRule="exact"/>
              <w:rPr>
                <w:rFonts w:ascii="宋体"/>
                <w:sz w:val="24"/>
              </w:rPr>
            </w:pPr>
          </w:p>
        </w:tc>
        <w:tc>
          <w:tcPr>
            <w:tcW w:w="1912" w:type="dxa"/>
          </w:tcPr>
          <w:p w14:paraId="51B5A24B">
            <w:pPr>
              <w:pageBreakBefore w:val="0"/>
              <w:kinsoku/>
              <w:wordWrap/>
              <w:overflowPunct/>
              <w:topLinePunct w:val="0"/>
              <w:bidi w:val="0"/>
              <w:snapToGrid w:val="0"/>
              <w:spacing w:line="600" w:lineRule="exact"/>
              <w:rPr>
                <w:rFonts w:ascii="宋体"/>
                <w:sz w:val="24"/>
              </w:rPr>
            </w:pPr>
          </w:p>
        </w:tc>
        <w:tc>
          <w:tcPr>
            <w:tcW w:w="2416" w:type="dxa"/>
          </w:tcPr>
          <w:p w14:paraId="401FF0C9">
            <w:pPr>
              <w:pageBreakBefore w:val="0"/>
              <w:kinsoku/>
              <w:wordWrap/>
              <w:overflowPunct/>
              <w:topLinePunct w:val="0"/>
              <w:bidi w:val="0"/>
              <w:snapToGrid w:val="0"/>
              <w:spacing w:line="600" w:lineRule="exact"/>
              <w:rPr>
                <w:rFonts w:ascii="宋体"/>
                <w:sz w:val="24"/>
              </w:rPr>
            </w:pPr>
          </w:p>
        </w:tc>
      </w:tr>
      <w:tr w14:paraId="3EEE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14:paraId="58366D95">
            <w:pPr>
              <w:pageBreakBefore w:val="0"/>
              <w:kinsoku/>
              <w:wordWrap/>
              <w:overflowPunct/>
              <w:topLinePunct w:val="0"/>
              <w:bidi w:val="0"/>
              <w:snapToGrid w:val="0"/>
              <w:spacing w:line="600" w:lineRule="exact"/>
              <w:rPr>
                <w:rFonts w:ascii="宋体"/>
                <w:sz w:val="24"/>
              </w:rPr>
            </w:pPr>
          </w:p>
        </w:tc>
        <w:tc>
          <w:tcPr>
            <w:tcW w:w="2485" w:type="dxa"/>
          </w:tcPr>
          <w:p w14:paraId="3B16E038">
            <w:pPr>
              <w:pageBreakBefore w:val="0"/>
              <w:kinsoku/>
              <w:wordWrap/>
              <w:overflowPunct/>
              <w:topLinePunct w:val="0"/>
              <w:bidi w:val="0"/>
              <w:snapToGrid w:val="0"/>
              <w:spacing w:line="600" w:lineRule="exact"/>
              <w:rPr>
                <w:rFonts w:ascii="宋体"/>
                <w:sz w:val="24"/>
              </w:rPr>
            </w:pPr>
          </w:p>
        </w:tc>
        <w:tc>
          <w:tcPr>
            <w:tcW w:w="1912" w:type="dxa"/>
          </w:tcPr>
          <w:p w14:paraId="77A49E2E">
            <w:pPr>
              <w:pageBreakBefore w:val="0"/>
              <w:kinsoku/>
              <w:wordWrap/>
              <w:overflowPunct/>
              <w:topLinePunct w:val="0"/>
              <w:bidi w:val="0"/>
              <w:snapToGrid w:val="0"/>
              <w:spacing w:line="600" w:lineRule="exact"/>
              <w:rPr>
                <w:rFonts w:ascii="宋体"/>
                <w:sz w:val="24"/>
              </w:rPr>
            </w:pPr>
          </w:p>
        </w:tc>
        <w:tc>
          <w:tcPr>
            <w:tcW w:w="2416" w:type="dxa"/>
          </w:tcPr>
          <w:p w14:paraId="015542C0">
            <w:pPr>
              <w:pageBreakBefore w:val="0"/>
              <w:kinsoku/>
              <w:wordWrap/>
              <w:overflowPunct/>
              <w:topLinePunct w:val="0"/>
              <w:bidi w:val="0"/>
              <w:snapToGrid w:val="0"/>
              <w:spacing w:line="600" w:lineRule="exact"/>
              <w:rPr>
                <w:rFonts w:ascii="宋体"/>
                <w:sz w:val="24"/>
              </w:rPr>
            </w:pPr>
          </w:p>
        </w:tc>
      </w:tr>
      <w:tr w14:paraId="1F2A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14:paraId="5CBBCA42">
            <w:pPr>
              <w:pageBreakBefore w:val="0"/>
              <w:kinsoku/>
              <w:wordWrap/>
              <w:overflowPunct/>
              <w:topLinePunct w:val="0"/>
              <w:bidi w:val="0"/>
              <w:snapToGrid w:val="0"/>
              <w:spacing w:line="600" w:lineRule="exact"/>
              <w:rPr>
                <w:rFonts w:ascii="宋体"/>
                <w:sz w:val="24"/>
              </w:rPr>
            </w:pPr>
          </w:p>
        </w:tc>
        <w:tc>
          <w:tcPr>
            <w:tcW w:w="2485" w:type="dxa"/>
          </w:tcPr>
          <w:p w14:paraId="2B4B3B51">
            <w:pPr>
              <w:pageBreakBefore w:val="0"/>
              <w:kinsoku/>
              <w:wordWrap/>
              <w:overflowPunct/>
              <w:topLinePunct w:val="0"/>
              <w:bidi w:val="0"/>
              <w:snapToGrid w:val="0"/>
              <w:spacing w:line="600" w:lineRule="exact"/>
              <w:rPr>
                <w:rFonts w:ascii="宋体"/>
                <w:sz w:val="24"/>
              </w:rPr>
            </w:pPr>
          </w:p>
        </w:tc>
        <w:tc>
          <w:tcPr>
            <w:tcW w:w="1912" w:type="dxa"/>
          </w:tcPr>
          <w:p w14:paraId="002F5724">
            <w:pPr>
              <w:pageBreakBefore w:val="0"/>
              <w:kinsoku/>
              <w:wordWrap/>
              <w:overflowPunct/>
              <w:topLinePunct w:val="0"/>
              <w:bidi w:val="0"/>
              <w:snapToGrid w:val="0"/>
              <w:spacing w:line="600" w:lineRule="exact"/>
              <w:rPr>
                <w:rFonts w:ascii="宋体"/>
                <w:sz w:val="24"/>
              </w:rPr>
            </w:pPr>
          </w:p>
        </w:tc>
        <w:tc>
          <w:tcPr>
            <w:tcW w:w="2416" w:type="dxa"/>
          </w:tcPr>
          <w:p w14:paraId="332EA2D9">
            <w:pPr>
              <w:pageBreakBefore w:val="0"/>
              <w:kinsoku/>
              <w:wordWrap/>
              <w:overflowPunct/>
              <w:topLinePunct w:val="0"/>
              <w:bidi w:val="0"/>
              <w:snapToGrid w:val="0"/>
              <w:spacing w:line="600" w:lineRule="exact"/>
              <w:rPr>
                <w:rFonts w:ascii="宋体"/>
                <w:sz w:val="24"/>
              </w:rPr>
            </w:pPr>
          </w:p>
        </w:tc>
      </w:tr>
      <w:tr w14:paraId="4F9A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14:paraId="2DAB2E23">
            <w:pPr>
              <w:pageBreakBefore w:val="0"/>
              <w:kinsoku/>
              <w:wordWrap/>
              <w:overflowPunct/>
              <w:topLinePunct w:val="0"/>
              <w:bidi w:val="0"/>
              <w:snapToGrid w:val="0"/>
              <w:spacing w:line="600" w:lineRule="exact"/>
              <w:rPr>
                <w:rFonts w:ascii="宋体"/>
                <w:sz w:val="24"/>
              </w:rPr>
            </w:pPr>
          </w:p>
        </w:tc>
        <w:tc>
          <w:tcPr>
            <w:tcW w:w="2485" w:type="dxa"/>
          </w:tcPr>
          <w:p w14:paraId="1B15B754">
            <w:pPr>
              <w:pageBreakBefore w:val="0"/>
              <w:kinsoku/>
              <w:wordWrap/>
              <w:overflowPunct/>
              <w:topLinePunct w:val="0"/>
              <w:bidi w:val="0"/>
              <w:snapToGrid w:val="0"/>
              <w:spacing w:line="600" w:lineRule="exact"/>
              <w:rPr>
                <w:rFonts w:ascii="宋体"/>
                <w:sz w:val="24"/>
              </w:rPr>
            </w:pPr>
          </w:p>
        </w:tc>
        <w:tc>
          <w:tcPr>
            <w:tcW w:w="1912" w:type="dxa"/>
          </w:tcPr>
          <w:p w14:paraId="2B26D75A">
            <w:pPr>
              <w:pageBreakBefore w:val="0"/>
              <w:kinsoku/>
              <w:wordWrap/>
              <w:overflowPunct/>
              <w:topLinePunct w:val="0"/>
              <w:bidi w:val="0"/>
              <w:snapToGrid w:val="0"/>
              <w:spacing w:line="600" w:lineRule="exact"/>
              <w:rPr>
                <w:rFonts w:ascii="宋体"/>
                <w:sz w:val="24"/>
              </w:rPr>
            </w:pPr>
          </w:p>
        </w:tc>
        <w:tc>
          <w:tcPr>
            <w:tcW w:w="2416" w:type="dxa"/>
          </w:tcPr>
          <w:p w14:paraId="0C205644">
            <w:pPr>
              <w:pageBreakBefore w:val="0"/>
              <w:kinsoku/>
              <w:wordWrap/>
              <w:overflowPunct/>
              <w:topLinePunct w:val="0"/>
              <w:bidi w:val="0"/>
              <w:snapToGrid w:val="0"/>
              <w:spacing w:line="600" w:lineRule="exact"/>
              <w:rPr>
                <w:rFonts w:ascii="宋体"/>
                <w:sz w:val="24"/>
              </w:rPr>
            </w:pPr>
          </w:p>
        </w:tc>
      </w:tr>
    </w:tbl>
    <w:p w14:paraId="6538463D">
      <w:pPr>
        <w:pageBreakBefore w:val="0"/>
        <w:kinsoku/>
        <w:wordWrap/>
        <w:overflowPunct/>
        <w:topLinePunct w:val="0"/>
        <w:bidi w:val="0"/>
        <w:snapToGrid w:val="0"/>
        <w:spacing w:line="600" w:lineRule="exact"/>
      </w:pPr>
    </w:p>
    <w:p w14:paraId="3AEB7178">
      <w:pPr>
        <w:pageBreakBefore w:val="0"/>
        <w:kinsoku/>
        <w:wordWrap/>
        <w:overflowPunct/>
        <w:topLinePunct w:val="0"/>
        <w:bidi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注：参与单位应针对本文件“采购需求”中内容作响应描述。</w:t>
      </w:r>
    </w:p>
    <w:p w14:paraId="756CE43A">
      <w:pPr>
        <w:pStyle w:val="28"/>
        <w:pageBreakBefore w:val="0"/>
        <w:kinsoku/>
        <w:wordWrap/>
        <w:overflowPunct/>
        <w:topLinePunct w:val="0"/>
        <w:bidi w:val="0"/>
        <w:snapToGrid w:val="0"/>
        <w:spacing w:line="600" w:lineRule="exact"/>
        <w:rPr>
          <w:rFonts w:hint="eastAsia"/>
          <w:sz w:val="24"/>
        </w:rPr>
      </w:pPr>
    </w:p>
    <w:p w14:paraId="6D7C8AE4">
      <w:pPr>
        <w:pageBreakBefore w:val="0"/>
        <w:widowControl/>
        <w:kinsoku/>
        <w:wordWrap/>
        <w:overflowPunct/>
        <w:topLinePunct w:val="0"/>
        <w:bidi w:val="0"/>
        <w:snapToGrid w:val="0"/>
        <w:spacing w:line="600" w:lineRule="exact"/>
        <w:jc w:val="center"/>
        <w:outlineLvl w:val="1"/>
        <w:rPr>
          <w:rFonts w:hint="eastAsia" w:ascii="仿宋_GB2312" w:hAnsi="宋体" w:eastAsia="仿宋_GB2312"/>
          <w:b/>
          <w:bCs/>
          <w:sz w:val="32"/>
          <w:szCs w:val="32"/>
        </w:rPr>
      </w:pPr>
      <w:bookmarkStart w:id="74" w:name="_Toc730"/>
    </w:p>
    <w:p w14:paraId="5DE9368D">
      <w:pPr>
        <w:pageBreakBefore w:val="0"/>
        <w:widowControl/>
        <w:kinsoku/>
        <w:wordWrap/>
        <w:overflowPunct/>
        <w:topLinePunct w:val="0"/>
        <w:bidi w:val="0"/>
        <w:snapToGrid w:val="0"/>
        <w:spacing w:line="600" w:lineRule="exact"/>
        <w:jc w:val="center"/>
        <w:outlineLvl w:val="1"/>
        <w:rPr>
          <w:rFonts w:hint="eastAsia" w:ascii="仿宋_GB2312" w:hAnsi="宋体" w:eastAsia="仿宋_GB2312"/>
          <w:b/>
          <w:bCs/>
          <w:sz w:val="32"/>
          <w:szCs w:val="32"/>
        </w:rPr>
      </w:pPr>
    </w:p>
    <w:p w14:paraId="56DEA473">
      <w:pPr>
        <w:pageBreakBefore w:val="0"/>
        <w:kinsoku/>
        <w:wordWrap/>
        <w:overflowPunct/>
        <w:topLinePunct w:val="0"/>
        <w:bidi w:val="0"/>
        <w:snapToGrid w:val="0"/>
        <w:spacing w:line="600" w:lineRule="exact"/>
        <w:jc w:val="left"/>
        <w:rPr>
          <w:rFonts w:ascii="仿宋_GB2312" w:eastAsia="仿宋_GB2312"/>
          <w:sz w:val="32"/>
          <w:szCs w:val="32"/>
        </w:rPr>
      </w:pPr>
      <w:r>
        <w:rPr>
          <w:rFonts w:hint="eastAsia" w:ascii="仿宋_GB2312" w:eastAsia="仿宋_GB2312"/>
          <w:sz w:val="32"/>
          <w:szCs w:val="32"/>
        </w:rPr>
        <w:t>参与单位全称：</w:t>
      </w:r>
      <w:r>
        <w:rPr>
          <w:rFonts w:hint="eastAsia" w:ascii="仿宋_GB2312" w:eastAsia="仿宋_GB2312"/>
          <w:sz w:val="32"/>
          <w:szCs w:val="32"/>
          <w:u w:val="single"/>
        </w:rPr>
        <w:t>　　　              （盖单位公章）</w:t>
      </w:r>
    </w:p>
    <w:p w14:paraId="3657B8D4">
      <w:pPr>
        <w:pageBreakBefore w:val="0"/>
        <w:kinsoku/>
        <w:wordWrap/>
        <w:overflowPunct/>
        <w:topLinePunct w:val="0"/>
        <w:bidi w:val="0"/>
        <w:snapToGrid w:val="0"/>
        <w:spacing w:line="600" w:lineRule="exact"/>
        <w:jc w:val="left"/>
        <w:rPr>
          <w:rFonts w:ascii="仿宋_GB2312" w:eastAsia="仿宋_GB2312"/>
          <w:sz w:val="32"/>
          <w:szCs w:val="32"/>
          <w:u w:val="single"/>
        </w:rPr>
      </w:pPr>
      <w:r>
        <w:rPr>
          <w:rFonts w:hint="eastAsia" w:ascii="仿宋_GB2312" w:eastAsia="仿宋_GB2312"/>
          <w:sz w:val="32"/>
          <w:szCs w:val="32"/>
        </w:rPr>
        <w:t>法定代表人（负责人）或授权代表：</w:t>
      </w:r>
      <w:r>
        <w:rPr>
          <w:rFonts w:hint="eastAsia" w:ascii="仿宋_GB2312" w:eastAsia="仿宋_GB2312"/>
          <w:sz w:val="32"/>
          <w:szCs w:val="32"/>
          <w:u w:val="single"/>
        </w:rPr>
        <w:t>　　　　　　　（签字）</w:t>
      </w:r>
    </w:p>
    <w:p w14:paraId="5E5A69D1">
      <w:pPr>
        <w:pageBreakBefore w:val="0"/>
        <w:kinsoku/>
        <w:wordWrap/>
        <w:overflowPunct/>
        <w:topLinePunct w:val="0"/>
        <w:bidi w:val="0"/>
        <w:snapToGrid w:val="0"/>
        <w:spacing w:line="600" w:lineRule="exact"/>
        <w:jc w:val="lef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u w:val="single"/>
        </w:rPr>
        <w:t>　　　　　年　　　月　　　　日</w:t>
      </w:r>
    </w:p>
    <w:p w14:paraId="4D9A57BC">
      <w:pPr>
        <w:pageBreakBefore w:val="0"/>
        <w:widowControl/>
        <w:kinsoku/>
        <w:wordWrap/>
        <w:overflowPunct/>
        <w:topLinePunct w:val="0"/>
        <w:bidi w:val="0"/>
        <w:snapToGrid w:val="0"/>
        <w:spacing w:line="600" w:lineRule="exact"/>
        <w:jc w:val="center"/>
        <w:outlineLvl w:val="1"/>
        <w:rPr>
          <w:rFonts w:hint="eastAsia" w:ascii="仿宋_GB2312" w:hAnsi="宋体" w:eastAsia="仿宋_GB2312"/>
          <w:b/>
          <w:bCs/>
          <w:sz w:val="32"/>
          <w:szCs w:val="32"/>
        </w:rPr>
      </w:pPr>
    </w:p>
    <w:p w14:paraId="352494D9">
      <w:pPr>
        <w:pageBreakBefore w:val="0"/>
        <w:widowControl/>
        <w:kinsoku/>
        <w:wordWrap/>
        <w:overflowPunct/>
        <w:topLinePunct w:val="0"/>
        <w:bidi w:val="0"/>
        <w:snapToGrid w:val="0"/>
        <w:spacing w:line="600" w:lineRule="exact"/>
        <w:jc w:val="center"/>
        <w:outlineLvl w:val="1"/>
        <w:rPr>
          <w:rFonts w:hint="eastAsia" w:ascii="宋体" w:hAnsi="宋体"/>
          <w:b/>
          <w:bCs/>
          <w:sz w:val="32"/>
          <w:szCs w:val="32"/>
        </w:rPr>
      </w:pPr>
    </w:p>
    <w:p w14:paraId="576F2298">
      <w:pPr>
        <w:pageBreakBefore w:val="0"/>
        <w:widowControl/>
        <w:kinsoku/>
        <w:wordWrap/>
        <w:overflowPunct/>
        <w:topLinePunct w:val="0"/>
        <w:bidi w:val="0"/>
        <w:snapToGrid w:val="0"/>
        <w:spacing w:line="600" w:lineRule="exact"/>
        <w:jc w:val="center"/>
        <w:outlineLvl w:val="1"/>
        <w:rPr>
          <w:rFonts w:hint="eastAsia" w:ascii="宋体" w:hAnsi="宋体"/>
          <w:b/>
          <w:bCs/>
          <w:sz w:val="32"/>
          <w:szCs w:val="32"/>
        </w:rPr>
      </w:pPr>
    </w:p>
    <w:p w14:paraId="5D8F1249">
      <w:pPr>
        <w:pageBreakBefore w:val="0"/>
        <w:kinsoku/>
        <w:wordWrap/>
        <w:overflowPunct/>
        <w:topLinePunct w:val="0"/>
        <w:bidi w:val="0"/>
        <w:snapToGrid w:val="0"/>
        <w:spacing w:line="600" w:lineRule="exact"/>
        <w:rPr>
          <w:rFonts w:ascii="仿宋_GB2312" w:eastAsia="仿宋_GB2312"/>
          <w:sz w:val="32"/>
          <w:szCs w:val="32"/>
        </w:rPr>
      </w:pPr>
      <w:r>
        <w:rPr>
          <w:rFonts w:hint="eastAsia" w:ascii="仿宋_GB2312" w:eastAsia="仿宋_GB2312"/>
          <w:sz w:val="32"/>
          <w:szCs w:val="32"/>
        </w:rPr>
        <w:br w:type="page"/>
      </w:r>
    </w:p>
    <w:p w14:paraId="54BD5807">
      <w:pPr>
        <w:pageBreakBefore w:val="0"/>
        <w:kinsoku/>
        <w:wordWrap/>
        <w:overflowPunct/>
        <w:topLinePunct w:val="0"/>
        <w:bidi w:val="0"/>
        <w:snapToGrid w:val="0"/>
        <w:spacing w:line="600" w:lineRule="exact"/>
        <w:jc w:val="left"/>
        <w:rPr>
          <w:rFonts w:ascii="仿宋_GB2312" w:eastAsia="仿宋_GB2312"/>
          <w:sz w:val="32"/>
          <w:szCs w:val="32"/>
        </w:rPr>
      </w:pPr>
      <w:r>
        <w:rPr>
          <w:rFonts w:hint="eastAsia" w:ascii="仿宋_GB2312" w:eastAsia="仿宋_GB2312"/>
          <w:sz w:val="32"/>
          <w:szCs w:val="32"/>
        </w:rPr>
        <w:t>合同内容主要条款响应及偏离表格式</w:t>
      </w:r>
      <w:bookmarkStart w:id="75" w:name="_Toc10577"/>
    </w:p>
    <w:p w14:paraId="7EE6F8C1">
      <w:pPr>
        <w:pageBreakBefore w:val="0"/>
        <w:kinsoku/>
        <w:wordWrap/>
        <w:overflowPunct/>
        <w:topLinePunct w:val="0"/>
        <w:bidi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合同内容主要条款响应及偏离表</w:t>
      </w:r>
      <w:bookmarkEnd w:id="74"/>
      <w:bookmarkEnd w:id="75"/>
    </w:p>
    <w:p w14:paraId="7DE1F9BF">
      <w:pPr>
        <w:pStyle w:val="6"/>
        <w:pageBreakBefore w:val="0"/>
        <w:kinsoku/>
        <w:wordWrap/>
        <w:overflowPunct/>
        <w:topLinePunct w:val="0"/>
        <w:bidi w:val="0"/>
        <w:snapToGrid w:val="0"/>
        <w:spacing w:after="0" w:line="600" w:lineRule="exact"/>
      </w:pP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207"/>
        <w:gridCol w:w="1827"/>
        <w:gridCol w:w="2467"/>
        <w:gridCol w:w="1559"/>
      </w:tblGrid>
      <w:tr w14:paraId="317B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61371B7B">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序号</w:t>
            </w:r>
          </w:p>
        </w:tc>
        <w:tc>
          <w:tcPr>
            <w:tcW w:w="2207" w:type="dxa"/>
            <w:vAlign w:val="center"/>
          </w:tcPr>
          <w:p w14:paraId="1A262AB5">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谈判文件中的要求</w:t>
            </w:r>
          </w:p>
        </w:tc>
        <w:tc>
          <w:tcPr>
            <w:tcW w:w="1827" w:type="dxa"/>
            <w:vAlign w:val="center"/>
          </w:tcPr>
          <w:p w14:paraId="4541203E">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应答内容</w:t>
            </w:r>
          </w:p>
        </w:tc>
        <w:tc>
          <w:tcPr>
            <w:tcW w:w="2467" w:type="dxa"/>
            <w:vAlign w:val="center"/>
          </w:tcPr>
          <w:p w14:paraId="6E7ED718">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偏离及其影响</w:t>
            </w:r>
          </w:p>
        </w:tc>
        <w:tc>
          <w:tcPr>
            <w:tcW w:w="1559" w:type="dxa"/>
            <w:vAlign w:val="center"/>
          </w:tcPr>
          <w:p w14:paraId="130E9521">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备注</w:t>
            </w:r>
          </w:p>
        </w:tc>
      </w:tr>
      <w:tr w14:paraId="36CC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753D0C1B">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1</w:t>
            </w:r>
          </w:p>
        </w:tc>
        <w:tc>
          <w:tcPr>
            <w:tcW w:w="2207" w:type="dxa"/>
            <w:vAlign w:val="center"/>
          </w:tcPr>
          <w:p w14:paraId="42065BDF">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交货(项目完成)时间、地点</w:t>
            </w:r>
          </w:p>
        </w:tc>
        <w:tc>
          <w:tcPr>
            <w:tcW w:w="1827" w:type="dxa"/>
            <w:vAlign w:val="center"/>
          </w:tcPr>
          <w:p w14:paraId="08FF61CB">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48574BD0">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580444B3">
            <w:pPr>
              <w:pageBreakBefore w:val="0"/>
              <w:kinsoku/>
              <w:wordWrap/>
              <w:overflowPunct/>
              <w:topLinePunct w:val="0"/>
              <w:bidi w:val="0"/>
              <w:snapToGrid w:val="0"/>
              <w:spacing w:line="600" w:lineRule="exact"/>
              <w:jc w:val="center"/>
              <w:rPr>
                <w:rFonts w:hint="eastAsia" w:ascii="宋体" w:hAnsi="宋体" w:cs="宋体"/>
                <w:sz w:val="24"/>
              </w:rPr>
            </w:pPr>
          </w:p>
        </w:tc>
      </w:tr>
      <w:tr w14:paraId="4224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5CA0F44E">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2</w:t>
            </w:r>
          </w:p>
        </w:tc>
        <w:tc>
          <w:tcPr>
            <w:tcW w:w="2207" w:type="dxa"/>
            <w:vAlign w:val="center"/>
          </w:tcPr>
          <w:p w14:paraId="25C94A6D">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验收</w:t>
            </w:r>
          </w:p>
        </w:tc>
        <w:tc>
          <w:tcPr>
            <w:tcW w:w="1827" w:type="dxa"/>
            <w:vAlign w:val="center"/>
          </w:tcPr>
          <w:p w14:paraId="3638F544">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4225F7FC">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45A766EC">
            <w:pPr>
              <w:pageBreakBefore w:val="0"/>
              <w:kinsoku/>
              <w:wordWrap/>
              <w:overflowPunct/>
              <w:topLinePunct w:val="0"/>
              <w:bidi w:val="0"/>
              <w:snapToGrid w:val="0"/>
              <w:spacing w:line="600" w:lineRule="exact"/>
              <w:jc w:val="center"/>
              <w:rPr>
                <w:rFonts w:hint="eastAsia" w:ascii="宋体" w:hAnsi="宋体" w:cs="宋体"/>
                <w:sz w:val="24"/>
              </w:rPr>
            </w:pPr>
          </w:p>
        </w:tc>
      </w:tr>
      <w:tr w14:paraId="1198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04B34866">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3</w:t>
            </w:r>
          </w:p>
        </w:tc>
        <w:tc>
          <w:tcPr>
            <w:tcW w:w="2207" w:type="dxa"/>
            <w:vAlign w:val="center"/>
          </w:tcPr>
          <w:p w14:paraId="6CED14DE">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付款方式</w:t>
            </w:r>
          </w:p>
        </w:tc>
        <w:tc>
          <w:tcPr>
            <w:tcW w:w="1827" w:type="dxa"/>
            <w:vAlign w:val="center"/>
          </w:tcPr>
          <w:p w14:paraId="5E46821B">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51FA3095">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062697C1">
            <w:pPr>
              <w:pageBreakBefore w:val="0"/>
              <w:kinsoku/>
              <w:wordWrap/>
              <w:overflowPunct/>
              <w:topLinePunct w:val="0"/>
              <w:bidi w:val="0"/>
              <w:snapToGrid w:val="0"/>
              <w:spacing w:line="600" w:lineRule="exact"/>
              <w:jc w:val="center"/>
              <w:rPr>
                <w:rFonts w:hint="eastAsia" w:ascii="宋体" w:hAnsi="宋体" w:cs="宋体"/>
                <w:sz w:val="24"/>
              </w:rPr>
            </w:pPr>
          </w:p>
        </w:tc>
      </w:tr>
      <w:tr w14:paraId="23C5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1FFA57AB">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4</w:t>
            </w:r>
          </w:p>
        </w:tc>
        <w:tc>
          <w:tcPr>
            <w:tcW w:w="2207" w:type="dxa"/>
            <w:vAlign w:val="center"/>
          </w:tcPr>
          <w:p w14:paraId="6202109D">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履约和服务能力</w:t>
            </w:r>
          </w:p>
        </w:tc>
        <w:tc>
          <w:tcPr>
            <w:tcW w:w="1827" w:type="dxa"/>
            <w:vAlign w:val="center"/>
          </w:tcPr>
          <w:p w14:paraId="04443A8B">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4886A25D">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700FA8A4">
            <w:pPr>
              <w:pageBreakBefore w:val="0"/>
              <w:kinsoku/>
              <w:wordWrap/>
              <w:overflowPunct/>
              <w:topLinePunct w:val="0"/>
              <w:bidi w:val="0"/>
              <w:snapToGrid w:val="0"/>
              <w:spacing w:line="600" w:lineRule="exact"/>
              <w:jc w:val="center"/>
              <w:rPr>
                <w:rFonts w:hint="eastAsia" w:ascii="宋体" w:hAnsi="宋体" w:cs="宋体"/>
                <w:sz w:val="24"/>
              </w:rPr>
            </w:pPr>
          </w:p>
        </w:tc>
      </w:tr>
      <w:tr w14:paraId="2A7D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6EB6DC3F">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5</w:t>
            </w:r>
          </w:p>
        </w:tc>
        <w:tc>
          <w:tcPr>
            <w:tcW w:w="2207" w:type="dxa"/>
            <w:vAlign w:val="center"/>
          </w:tcPr>
          <w:p w14:paraId="782C4B2E">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其他</w:t>
            </w:r>
          </w:p>
        </w:tc>
        <w:tc>
          <w:tcPr>
            <w:tcW w:w="1827" w:type="dxa"/>
            <w:vAlign w:val="center"/>
          </w:tcPr>
          <w:p w14:paraId="564D0BEF">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64CFC323">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117E0476">
            <w:pPr>
              <w:pageBreakBefore w:val="0"/>
              <w:kinsoku/>
              <w:wordWrap/>
              <w:overflowPunct/>
              <w:topLinePunct w:val="0"/>
              <w:bidi w:val="0"/>
              <w:snapToGrid w:val="0"/>
              <w:spacing w:line="600" w:lineRule="exact"/>
              <w:jc w:val="center"/>
              <w:rPr>
                <w:rFonts w:hint="eastAsia" w:ascii="宋体" w:hAnsi="宋体" w:cs="宋体"/>
                <w:sz w:val="24"/>
              </w:rPr>
            </w:pPr>
          </w:p>
        </w:tc>
      </w:tr>
      <w:tr w14:paraId="7947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3B40E0DD">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6</w:t>
            </w:r>
          </w:p>
        </w:tc>
        <w:tc>
          <w:tcPr>
            <w:tcW w:w="2207" w:type="dxa"/>
            <w:vAlign w:val="center"/>
          </w:tcPr>
          <w:p w14:paraId="42FF41F2">
            <w:pPr>
              <w:pageBreakBefore w:val="0"/>
              <w:kinsoku/>
              <w:wordWrap/>
              <w:overflowPunct/>
              <w:topLinePunct w:val="0"/>
              <w:bidi w:val="0"/>
              <w:snapToGrid w:val="0"/>
              <w:spacing w:line="600" w:lineRule="exact"/>
              <w:jc w:val="center"/>
              <w:rPr>
                <w:rFonts w:hint="eastAsia" w:ascii="宋体" w:hAnsi="宋体" w:cs="宋体"/>
                <w:sz w:val="24"/>
              </w:rPr>
            </w:pPr>
          </w:p>
        </w:tc>
        <w:tc>
          <w:tcPr>
            <w:tcW w:w="1827" w:type="dxa"/>
            <w:vAlign w:val="center"/>
          </w:tcPr>
          <w:p w14:paraId="5591BB94">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52D5EE5D">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74263834">
            <w:pPr>
              <w:pageBreakBefore w:val="0"/>
              <w:kinsoku/>
              <w:wordWrap/>
              <w:overflowPunct/>
              <w:topLinePunct w:val="0"/>
              <w:bidi w:val="0"/>
              <w:snapToGrid w:val="0"/>
              <w:spacing w:line="600" w:lineRule="exact"/>
              <w:jc w:val="center"/>
              <w:rPr>
                <w:rFonts w:hint="eastAsia" w:ascii="宋体" w:hAnsi="宋体" w:cs="宋体"/>
                <w:sz w:val="24"/>
              </w:rPr>
            </w:pPr>
          </w:p>
        </w:tc>
      </w:tr>
      <w:tr w14:paraId="66AF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37FAAE66">
            <w:pPr>
              <w:pageBreakBefore w:val="0"/>
              <w:kinsoku/>
              <w:wordWrap/>
              <w:overflowPunct/>
              <w:topLinePunct w:val="0"/>
              <w:bidi w:val="0"/>
              <w:snapToGrid w:val="0"/>
              <w:spacing w:line="600" w:lineRule="exact"/>
              <w:jc w:val="center"/>
              <w:rPr>
                <w:rFonts w:hint="eastAsia" w:ascii="宋体" w:hAnsi="宋体" w:cs="宋体"/>
                <w:sz w:val="24"/>
              </w:rPr>
            </w:pPr>
            <w:r>
              <w:rPr>
                <w:rFonts w:hint="eastAsia" w:ascii="宋体" w:hAnsi="宋体" w:cs="宋体"/>
                <w:sz w:val="24"/>
              </w:rPr>
              <w:t>…</w:t>
            </w:r>
          </w:p>
        </w:tc>
        <w:tc>
          <w:tcPr>
            <w:tcW w:w="2207" w:type="dxa"/>
            <w:vAlign w:val="center"/>
          </w:tcPr>
          <w:p w14:paraId="27015599">
            <w:pPr>
              <w:pageBreakBefore w:val="0"/>
              <w:kinsoku/>
              <w:wordWrap/>
              <w:overflowPunct/>
              <w:topLinePunct w:val="0"/>
              <w:bidi w:val="0"/>
              <w:snapToGrid w:val="0"/>
              <w:spacing w:line="600" w:lineRule="exact"/>
              <w:jc w:val="center"/>
              <w:rPr>
                <w:rFonts w:hint="eastAsia" w:ascii="宋体" w:hAnsi="宋体" w:cs="宋体"/>
                <w:sz w:val="24"/>
              </w:rPr>
            </w:pPr>
          </w:p>
        </w:tc>
        <w:tc>
          <w:tcPr>
            <w:tcW w:w="1827" w:type="dxa"/>
            <w:vAlign w:val="center"/>
          </w:tcPr>
          <w:p w14:paraId="793DA08D">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4C45367C">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1648173B">
            <w:pPr>
              <w:pageBreakBefore w:val="0"/>
              <w:kinsoku/>
              <w:wordWrap/>
              <w:overflowPunct/>
              <w:topLinePunct w:val="0"/>
              <w:bidi w:val="0"/>
              <w:snapToGrid w:val="0"/>
              <w:spacing w:line="600" w:lineRule="exact"/>
              <w:jc w:val="center"/>
              <w:rPr>
                <w:rFonts w:hint="eastAsia" w:ascii="宋体" w:hAnsi="宋体" w:cs="宋体"/>
                <w:sz w:val="24"/>
              </w:rPr>
            </w:pPr>
          </w:p>
        </w:tc>
      </w:tr>
      <w:tr w14:paraId="2CC6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043C5705">
            <w:pPr>
              <w:pageBreakBefore w:val="0"/>
              <w:kinsoku/>
              <w:wordWrap/>
              <w:overflowPunct/>
              <w:topLinePunct w:val="0"/>
              <w:bidi w:val="0"/>
              <w:snapToGrid w:val="0"/>
              <w:spacing w:line="600" w:lineRule="exact"/>
              <w:jc w:val="center"/>
              <w:rPr>
                <w:rFonts w:hint="eastAsia" w:ascii="宋体" w:hAnsi="宋体" w:cs="宋体"/>
                <w:sz w:val="24"/>
              </w:rPr>
            </w:pPr>
          </w:p>
        </w:tc>
        <w:tc>
          <w:tcPr>
            <w:tcW w:w="2207" w:type="dxa"/>
            <w:vAlign w:val="center"/>
          </w:tcPr>
          <w:p w14:paraId="19E31005">
            <w:pPr>
              <w:pageBreakBefore w:val="0"/>
              <w:kinsoku/>
              <w:wordWrap/>
              <w:overflowPunct/>
              <w:topLinePunct w:val="0"/>
              <w:bidi w:val="0"/>
              <w:snapToGrid w:val="0"/>
              <w:spacing w:line="600" w:lineRule="exact"/>
              <w:jc w:val="center"/>
              <w:rPr>
                <w:rFonts w:hint="eastAsia" w:ascii="宋体" w:hAnsi="宋体" w:cs="宋体"/>
                <w:sz w:val="24"/>
              </w:rPr>
            </w:pPr>
          </w:p>
        </w:tc>
        <w:tc>
          <w:tcPr>
            <w:tcW w:w="1827" w:type="dxa"/>
            <w:vAlign w:val="center"/>
          </w:tcPr>
          <w:p w14:paraId="36EA41F2">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53F0A83F">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52734FBA">
            <w:pPr>
              <w:pageBreakBefore w:val="0"/>
              <w:kinsoku/>
              <w:wordWrap/>
              <w:overflowPunct/>
              <w:topLinePunct w:val="0"/>
              <w:bidi w:val="0"/>
              <w:snapToGrid w:val="0"/>
              <w:spacing w:line="600" w:lineRule="exact"/>
              <w:jc w:val="center"/>
              <w:rPr>
                <w:rFonts w:hint="eastAsia" w:ascii="宋体" w:hAnsi="宋体" w:cs="宋体"/>
                <w:sz w:val="24"/>
              </w:rPr>
            </w:pPr>
          </w:p>
        </w:tc>
      </w:tr>
      <w:tr w14:paraId="0EC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14:paraId="56394749">
            <w:pPr>
              <w:pageBreakBefore w:val="0"/>
              <w:kinsoku/>
              <w:wordWrap/>
              <w:overflowPunct/>
              <w:topLinePunct w:val="0"/>
              <w:bidi w:val="0"/>
              <w:snapToGrid w:val="0"/>
              <w:spacing w:line="600" w:lineRule="exact"/>
              <w:jc w:val="center"/>
              <w:rPr>
                <w:rFonts w:hint="eastAsia" w:ascii="宋体" w:hAnsi="宋体" w:cs="宋体"/>
                <w:sz w:val="24"/>
              </w:rPr>
            </w:pPr>
          </w:p>
        </w:tc>
        <w:tc>
          <w:tcPr>
            <w:tcW w:w="2207" w:type="dxa"/>
            <w:vAlign w:val="center"/>
          </w:tcPr>
          <w:p w14:paraId="6E70A11F">
            <w:pPr>
              <w:pageBreakBefore w:val="0"/>
              <w:kinsoku/>
              <w:wordWrap/>
              <w:overflowPunct/>
              <w:topLinePunct w:val="0"/>
              <w:bidi w:val="0"/>
              <w:snapToGrid w:val="0"/>
              <w:spacing w:line="600" w:lineRule="exact"/>
              <w:jc w:val="center"/>
              <w:rPr>
                <w:rFonts w:hint="eastAsia" w:ascii="宋体" w:hAnsi="宋体" w:cs="宋体"/>
                <w:sz w:val="24"/>
              </w:rPr>
            </w:pPr>
          </w:p>
        </w:tc>
        <w:tc>
          <w:tcPr>
            <w:tcW w:w="1827" w:type="dxa"/>
            <w:vAlign w:val="center"/>
          </w:tcPr>
          <w:p w14:paraId="71E207C9">
            <w:pPr>
              <w:pageBreakBefore w:val="0"/>
              <w:kinsoku/>
              <w:wordWrap/>
              <w:overflowPunct/>
              <w:topLinePunct w:val="0"/>
              <w:bidi w:val="0"/>
              <w:snapToGrid w:val="0"/>
              <w:spacing w:line="600" w:lineRule="exact"/>
              <w:jc w:val="center"/>
              <w:rPr>
                <w:rFonts w:hint="eastAsia" w:ascii="宋体" w:hAnsi="宋体" w:cs="宋体"/>
                <w:sz w:val="24"/>
              </w:rPr>
            </w:pPr>
          </w:p>
        </w:tc>
        <w:tc>
          <w:tcPr>
            <w:tcW w:w="2467" w:type="dxa"/>
            <w:vAlign w:val="center"/>
          </w:tcPr>
          <w:p w14:paraId="0751AF05">
            <w:pPr>
              <w:pageBreakBefore w:val="0"/>
              <w:kinsoku/>
              <w:wordWrap/>
              <w:overflowPunct/>
              <w:topLinePunct w:val="0"/>
              <w:bidi w:val="0"/>
              <w:snapToGrid w:val="0"/>
              <w:spacing w:line="600" w:lineRule="exact"/>
              <w:jc w:val="center"/>
              <w:rPr>
                <w:rFonts w:hint="eastAsia" w:ascii="宋体" w:hAnsi="宋体" w:cs="宋体"/>
                <w:sz w:val="24"/>
              </w:rPr>
            </w:pPr>
          </w:p>
        </w:tc>
        <w:tc>
          <w:tcPr>
            <w:tcW w:w="1559" w:type="dxa"/>
            <w:vAlign w:val="center"/>
          </w:tcPr>
          <w:p w14:paraId="63B4162D">
            <w:pPr>
              <w:pageBreakBefore w:val="0"/>
              <w:kinsoku/>
              <w:wordWrap/>
              <w:overflowPunct/>
              <w:topLinePunct w:val="0"/>
              <w:bidi w:val="0"/>
              <w:snapToGrid w:val="0"/>
              <w:spacing w:line="600" w:lineRule="exact"/>
              <w:jc w:val="center"/>
              <w:rPr>
                <w:rFonts w:hint="eastAsia" w:ascii="宋体" w:hAnsi="宋体" w:cs="宋体"/>
                <w:sz w:val="24"/>
              </w:rPr>
            </w:pPr>
          </w:p>
        </w:tc>
      </w:tr>
    </w:tbl>
    <w:p w14:paraId="02178D96">
      <w:pPr>
        <w:pStyle w:val="5"/>
        <w:pageBreakBefore w:val="0"/>
        <w:kinsoku/>
        <w:wordWrap/>
        <w:overflowPunct/>
        <w:topLinePunct w:val="0"/>
        <w:bidi w:val="0"/>
        <w:snapToGrid w:val="0"/>
        <w:spacing w:line="600" w:lineRule="exact"/>
        <w:ind w:firstLine="0" w:firstLineChars="0"/>
        <w:jc w:val="right"/>
        <w:rPr>
          <w:rFonts w:hint="eastAsia" w:ascii="楷体" w:hAnsi="楷体" w:eastAsia="楷体"/>
          <w:sz w:val="24"/>
        </w:rPr>
      </w:pPr>
    </w:p>
    <w:p w14:paraId="5C9F5E0D">
      <w:pPr>
        <w:pageBreakBefore w:val="0"/>
        <w:kinsoku/>
        <w:wordWrap/>
        <w:overflowPunct/>
        <w:topLinePunct w:val="0"/>
        <w:bidi w:val="0"/>
        <w:snapToGrid w:val="0"/>
        <w:spacing w:line="600" w:lineRule="exact"/>
        <w:jc w:val="left"/>
        <w:rPr>
          <w:rFonts w:ascii="宋体"/>
          <w:sz w:val="32"/>
          <w:szCs w:val="32"/>
        </w:rPr>
      </w:pPr>
      <w:r>
        <w:rPr>
          <w:rFonts w:hint="eastAsia" w:ascii="宋体"/>
          <w:sz w:val="32"/>
          <w:szCs w:val="32"/>
        </w:rPr>
        <w:t>参与单位全称：</w:t>
      </w:r>
      <w:r>
        <w:rPr>
          <w:rFonts w:hint="eastAsia" w:ascii="宋体"/>
          <w:sz w:val="32"/>
          <w:szCs w:val="32"/>
          <w:u w:val="single"/>
        </w:rPr>
        <w:t>　　　</w:t>
      </w:r>
      <w:r>
        <w:rPr>
          <w:rFonts w:ascii="宋体"/>
          <w:sz w:val="32"/>
          <w:szCs w:val="32"/>
          <w:u w:val="single"/>
        </w:rPr>
        <w:t xml:space="preserve">              </w:t>
      </w:r>
      <w:r>
        <w:rPr>
          <w:rFonts w:hint="eastAsia" w:ascii="宋体"/>
          <w:sz w:val="32"/>
          <w:szCs w:val="32"/>
          <w:u w:val="single"/>
        </w:rPr>
        <w:t>（盖单位公章）</w:t>
      </w:r>
    </w:p>
    <w:p w14:paraId="68E7F928">
      <w:pPr>
        <w:pageBreakBefore w:val="0"/>
        <w:kinsoku/>
        <w:wordWrap/>
        <w:overflowPunct/>
        <w:topLinePunct w:val="0"/>
        <w:bidi w:val="0"/>
        <w:snapToGrid w:val="0"/>
        <w:spacing w:line="600" w:lineRule="exact"/>
        <w:jc w:val="left"/>
        <w:rPr>
          <w:rFonts w:ascii="宋体"/>
          <w:sz w:val="32"/>
          <w:szCs w:val="32"/>
          <w:u w:val="single"/>
        </w:rPr>
      </w:pPr>
      <w:r>
        <w:rPr>
          <w:rFonts w:hint="eastAsia" w:ascii="宋体"/>
          <w:sz w:val="32"/>
          <w:szCs w:val="32"/>
        </w:rPr>
        <w:t>法定代表人（负责人）或授权代表：</w:t>
      </w:r>
      <w:r>
        <w:rPr>
          <w:rFonts w:hint="eastAsia" w:ascii="宋体"/>
          <w:sz w:val="32"/>
          <w:szCs w:val="32"/>
          <w:u w:val="single"/>
        </w:rPr>
        <w:t>　　　　　　（签字）</w:t>
      </w:r>
    </w:p>
    <w:p w14:paraId="264E5B9C">
      <w:pPr>
        <w:pageBreakBefore w:val="0"/>
        <w:kinsoku/>
        <w:wordWrap/>
        <w:overflowPunct/>
        <w:topLinePunct w:val="0"/>
        <w:bidi w:val="0"/>
        <w:snapToGrid w:val="0"/>
        <w:spacing w:line="600" w:lineRule="exact"/>
        <w:jc w:val="left"/>
        <w:rPr>
          <w:rFonts w:ascii="宋体"/>
          <w:sz w:val="32"/>
          <w:szCs w:val="32"/>
        </w:rPr>
      </w:pPr>
      <w:r>
        <w:rPr>
          <w:rFonts w:hint="eastAsia" w:ascii="宋体"/>
          <w:sz w:val="32"/>
          <w:szCs w:val="32"/>
        </w:rPr>
        <w:t>日期：</w:t>
      </w:r>
      <w:r>
        <w:rPr>
          <w:rFonts w:hint="eastAsia" w:ascii="宋体"/>
          <w:sz w:val="32"/>
          <w:szCs w:val="32"/>
          <w:u w:val="single"/>
        </w:rPr>
        <w:t>　　　　　年　　　月　　　　日</w:t>
      </w:r>
    </w:p>
    <w:p w14:paraId="271D2E9D">
      <w:pPr>
        <w:pageBreakBefore w:val="0"/>
        <w:widowControl/>
        <w:kinsoku/>
        <w:wordWrap/>
        <w:overflowPunct/>
        <w:topLinePunct w:val="0"/>
        <w:bidi w:val="0"/>
        <w:adjustRightInd w:val="0"/>
        <w:snapToGrid w:val="0"/>
        <w:spacing w:line="600" w:lineRule="exact"/>
        <w:jc w:val="left"/>
        <w:rPr>
          <w:rFonts w:hint="eastAsia" w:ascii="微软雅黑" w:hAnsi="微软雅黑" w:eastAsia="微软雅黑" w:cs="微软雅黑"/>
          <w:kern w:val="0"/>
          <w:sz w:val="24"/>
          <w:lang w:bidi="ar"/>
        </w:rPr>
      </w:pPr>
    </w:p>
    <w:p w14:paraId="259206B1">
      <w:pPr>
        <w:pageBreakBefore w:val="0"/>
        <w:widowControl/>
        <w:kinsoku/>
        <w:wordWrap/>
        <w:overflowPunct/>
        <w:topLinePunct w:val="0"/>
        <w:bidi w:val="0"/>
        <w:adjustRightInd w:val="0"/>
        <w:snapToGrid w:val="0"/>
        <w:spacing w:line="600" w:lineRule="exact"/>
        <w:jc w:val="left"/>
        <w:rPr>
          <w:rFonts w:hint="eastAsia" w:ascii="微软雅黑" w:hAnsi="微软雅黑" w:eastAsia="微软雅黑" w:cs="微软雅黑"/>
          <w:kern w:val="0"/>
          <w:sz w:val="24"/>
          <w:lang w:bidi="ar"/>
        </w:rPr>
      </w:pPr>
      <w:r>
        <w:rPr>
          <w:rFonts w:hint="eastAsia" w:ascii="微软雅黑" w:hAnsi="微软雅黑" w:eastAsia="微软雅黑" w:cs="微软雅黑"/>
          <w:kern w:val="0"/>
          <w:sz w:val="24"/>
          <w:lang w:bidi="ar"/>
        </w:rPr>
        <w:t>注：以上表格结合本文件的采购需求进行填写，采购需求中无相关的内容可不予填写。</w:t>
      </w:r>
    </w:p>
    <w:p w14:paraId="7F2BD7CE">
      <w:pPr>
        <w:pageBreakBefore w:val="0"/>
        <w:kinsoku/>
        <w:wordWrap/>
        <w:overflowPunct/>
        <w:topLinePunct w:val="0"/>
        <w:bidi w:val="0"/>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36"/>
          <w:szCs w:val="36"/>
        </w:rPr>
        <w:br w:type="page"/>
      </w:r>
      <w:r>
        <w:rPr>
          <w:rFonts w:hint="eastAsia" w:ascii="方正小标宋简体" w:hAnsi="方正小标宋简体" w:eastAsia="方正小标宋简体" w:cs="方正小标宋简体"/>
          <w:bCs/>
          <w:sz w:val="44"/>
          <w:szCs w:val="44"/>
          <w:lang w:eastAsia="zh-CN"/>
        </w:rPr>
        <w:t>四川省犍为师范学校附属小学“六·一”文艺汇演</w:t>
      </w:r>
      <w:r>
        <w:rPr>
          <w:rFonts w:hint="eastAsia" w:ascii="方正小标宋简体" w:hAnsi="方正小标宋简体" w:eastAsia="方正小标宋简体" w:cs="方正小标宋简体"/>
          <w:bCs/>
          <w:sz w:val="44"/>
          <w:szCs w:val="44"/>
        </w:rPr>
        <w:t>舞台搭建布置等服务项目</w:t>
      </w:r>
    </w:p>
    <w:p w14:paraId="72A2F88F">
      <w:pPr>
        <w:pageBreakBefore w:val="0"/>
        <w:kinsoku/>
        <w:wordWrap/>
        <w:overflowPunct/>
        <w:topLinePunct w:val="0"/>
        <w:bidi w:val="0"/>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最终报价表</w:t>
      </w:r>
    </w:p>
    <w:p w14:paraId="5D3A79CF">
      <w:pPr>
        <w:pageBreakBefore w:val="0"/>
        <w:kinsoku/>
        <w:wordWrap/>
        <w:overflowPunct/>
        <w:topLinePunct w:val="0"/>
        <w:bidi w:val="0"/>
        <w:snapToGrid w:val="0"/>
        <w:spacing w:line="600" w:lineRule="exact"/>
        <w:jc w:val="both"/>
        <w:rPr>
          <w:rFonts w:hint="eastAsia" w:ascii="黑体" w:hAnsi="黑体" w:eastAsia="黑体"/>
          <w:sz w:val="32"/>
          <w:szCs w:val="32"/>
        </w:rPr>
      </w:pPr>
      <w:r>
        <w:rPr>
          <w:rFonts w:hint="eastAsia" w:ascii="黑体" w:hAnsi="黑体" w:eastAsia="黑体"/>
          <w:sz w:val="32"/>
          <w:szCs w:val="32"/>
        </w:rPr>
        <w:t>项目名称：</w:t>
      </w:r>
    </w:p>
    <w:p w14:paraId="50263034">
      <w:pPr>
        <w:pageBreakBefore w:val="0"/>
        <w:kinsoku/>
        <w:wordWrap/>
        <w:overflowPunct/>
        <w:topLinePunct w:val="0"/>
        <w:bidi w:val="0"/>
        <w:snapToGrid w:val="0"/>
        <w:spacing w:line="600" w:lineRule="exact"/>
        <w:jc w:val="left"/>
        <w:rPr>
          <w:rFonts w:hint="eastAsia" w:ascii="仿宋_GB2312" w:hAnsi="方正小标宋简体" w:eastAsia="仿宋_GB2312" w:cs="方正小标宋简体"/>
          <w:bCs/>
          <w:sz w:val="30"/>
          <w:szCs w:val="30"/>
        </w:rPr>
      </w:pPr>
      <w:r>
        <w:rPr>
          <w:rFonts w:hint="eastAsia" w:ascii="仿宋_GB2312" w:hAnsi="方正小标宋简体" w:eastAsia="仿宋_GB2312" w:cs="方正小标宋简体"/>
          <w:bCs/>
          <w:sz w:val="30"/>
          <w:szCs w:val="30"/>
          <w:lang w:eastAsia="zh-CN"/>
        </w:rPr>
        <w:t>四川省犍为师范学校附属小学“六·一”文艺汇演舞台搭建布置</w:t>
      </w:r>
      <w:r>
        <w:rPr>
          <w:rFonts w:eastAsia="仿宋_GB2312" w:cs="方正小标宋简体" w:asciiTheme="minorHAnsi" w:hAnsiTheme="minorHAnsi"/>
          <w:bCs/>
          <w:sz w:val="30"/>
          <w:szCs w:val="30"/>
        </w:rPr>
        <w:t>等</w:t>
      </w:r>
      <w:r>
        <w:rPr>
          <w:rFonts w:hint="eastAsia" w:ascii="仿宋_GB2312" w:hAnsi="方正小标宋简体" w:eastAsia="仿宋_GB2312" w:cs="方正小标宋简体"/>
          <w:bCs/>
          <w:sz w:val="30"/>
          <w:szCs w:val="30"/>
        </w:rPr>
        <w:t>服务项目</w:t>
      </w:r>
    </w:p>
    <w:p w14:paraId="32A5987B">
      <w:pPr>
        <w:pageBreakBefore w:val="0"/>
        <w:kinsoku/>
        <w:wordWrap/>
        <w:overflowPunct/>
        <w:topLinePunct w:val="0"/>
        <w:bidi w:val="0"/>
        <w:snapToGrid w:val="0"/>
        <w:spacing w:line="600" w:lineRule="exact"/>
        <w:rPr>
          <w:rFonts w:hint="eastAsia" w:ascii="仿宋_GB2312" w:hAnsi="黑体" w:eastAsia="仿宋_GB2312"/>
          <w:sz w:val="30"/>
          <w:szCs w:val="30"/>
        </w:rPr>
      </w:pPr>
      <w:r>
        <w:rPr>
          <w:rFonts w:hint="eastAsia"/>
          <w:b/>
        </w:rPr>
        <w:t>本表内容对照《采购需求》填写，如有多项报价内容，请逐一分项列出，遗漏无效。</w:t>
      </w:r>
    </w:p>
    <w:tbl>
      <w:tblPr>
        <w:tblStyle w:val="15"/>
        <w:tblpPr w:leftFromText="180" w:rightFromText="180" w:vertAnchor="text" w:horzAnchor="page" w:tblpX="1571" w:tblpY="294"/>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26"/>
        <w:gridCol w:w="859"/>
        <w:gridCol w:w="3315"/>
        <w:gridCol w:w="1380"/>
        <w:gridCol w:w="1545"/>
        <w:gridCol w:w="960"/>
      </w:tblGrid>
      <w:tr w14:paraId="0BC4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675" w:type="dxa"/>
            <w:vAlign w:val="center"/>
          </w:tcPr>
          <w:p w14:paraId="201C85E1">
            <w:pPr>
              <w:pStyle w:val="8"/>
              <w:pageBreakBefore w:val="0"/>
              <w:kinsoku/>
              <w:wordWrap/>
              <w:overflowPunct/>
              <w:topLinePunct w:val="0"/>
              <w:bidi w:val="0"/>
              <w:snapToGrid w:val="0"/>
              <w:spacing w:line="600" w:lineRule="exact"/>
              <w:jc w:val="center"/>
              <w:rPr>
                <w:rFonts w:hint="eastAsia" w:ascii="黑体" w:hAnsi="黑体" w:eastAsia="黑体"/>
                <w:spacing w:val="-20"/>
              </w:rPr>
            </w:pPr>
            <w:r>
              <w:rPr>
                <w:rFonts w:hint="eastAsia" w:ascii="黑体" w:hAnsi="黑体" w:eastAsia="黑体"/>
                <w:spacing w:val="-20"/>
              </w:rPr>
              <w:t>项号</w:t>
            </w:r>
          </w:p>
        </w:tc>
        <w:tc>
          <w:tcPr>
            <w:tcW w:w="626" w:type="dxa"/>
            <w:vAlign w:val="center"/>
          </w:tcPr>
          <w:p w14:paraId="0148B985">
            <w:pPr>
              <w:pStyle w:val="8"/>
              <w:pageBreakBefore w:val="0"/>
              <w:kinsoku/>
              <w:wordWrap/>
              <w:overflowPunct/>
              <w:topLinePunct w:val="0"/>
              <w:bidi w:val="0"/>
              <w:snapToGrid w:val="0"/>
              <w:spacing w:line="600" w:lineRule="exact"/>
              <w:jc w:val="center"/>
              <w:rPr>
                <w:rFonts w:hint="eastAsia" w:ascii="黑体" w:hAnsi="黑体" w:eastAsia="黑体"/>
                <w:spacing w:val="-20"/>
              </w:rPr>
            </w:pPr>
            <w:r>
              <w:rPr>
                <w:rFonts w:hint="eastAsia" w:ascii="黑体" w:hAnsi="黑体" w:eastAsia="黑体"/>
                <w:spacing w:val="-20"/>
              </w:rPr>
              <w:t>单位</w:t>
            </w:r>
          </w:p>
        </w:tc>
        <w:tc>
          <w:tcPr>
            <w:tcW w:w="859" w:type="dxa"/>
            <w:vAlign w:val="center"/>
          </w:tcPr>
          <w:p w14:paraId="5E01E04E">
            <w:pPr>
              <w:pStyle w:val="8"/>
              <w:pageBreakBefore w:val="0"/>
              <w:kinsoku/>
              <w:wordWrap/>
              <w:overflowPunct/>
              <w:topLinePunct w:val="0"/>
              <w:bidi w:val="0"/>
              <w:snapToGrid w:val="0"/>
              <w:spacing w:line="600" w:lineRule="exact"/>
              <w:jc w:val="center"/>
              <w:rPr>
                <w:rFonts w:hint="eastAsia" w:ascii="黑体" w:hAnsi="黑体" w:eastAsia="黑体"/>
              </w:rPr>
            </w:pPr>
            <w:r>
              <w:rPr>
                <w:rFonts w:hint="eastAsia" w:ascii="黑体" w:hAnsi="黑体" w:eastAsia="黑体"/>
                <w:spacing w:val="-20"/>
              </w:rPr>
              <w:t>数量</w:t>
            </w:r>
          </w:p>
        </w:tc>
        <w:tc>
          <w:tcPr>
            <w:tcW w:w="3315" w:type="dxa"/>
            <w:vAlign w:val="center"/>
          </w:tcPr>
          <w:p w14:paraId="09070B00">
            <w:pPr>
              <w:pStyle w:val="8"/>
              <w:pageBreakBefore w:val="0"/>
              <w:kinsoku/>
              <w:wordWrap/>
              <w:overflowPunct/>
              <w:topLinePunct w:val="0"/>
              <w:bidi w:val="0"/>
              <w:snapToGrid w:val="0"/>
              <w:spacing w:line="600" w:lineRule="exact"/>
              <w:jc w:val="center"/>
              <w:rPr>
                <w:rFonts w:hint="eastAsia" w:ascii="黑体" w:hAnsi="黑体" w:eastAsia="黑体"/>
              </w:rPr>
            </w:pPr>
            <w:r>
              <w:rPr>
                <w:rFonts w:hint="eastAsia" w:ascii="黑体" w:hAnsi="黑体" w:eastAsia="黑体"/>
                <w:spacing w:val="-20"/>
              </w:rPr>
              <w:t>服务内容</w:t>
            </w:r>
          </w:p>
        </w:tc>
        <w:tc>
          <w:tcPr>
            <w:tcW w:w="1380" w:type="dxa"/>
            <w:vAlign w:val="center"/>
          </w:tcPr>
          <w:p w14:paraId="4DE99B87">
            <w:pPr>
              <w:pStyle w:val="8"/>
              <w:pageBreakBefore w:val="0"/>
              <w:kinsoku/>
              <w:wordWrap/>
              <w:overflowPunct/>
              <w:topLinePunct w:val="0"/>
              <w:bidi w:val="0"/>
              <w:snapToGrid w:val="0"/>
              <w:spacing w:line="600" w:lineRule="exact"/>
              <w:jc w:val="center"/>
              <w:rPr>
                <w:rFonts w:hint="eastAsia" w:ascii="黑体" w:hAnsi="黑体" w:eastAsia="黑体"/>
              </w:rPr>
            </w:pPr>
            <w:r>
              <w:rPr>
                <w:rFonts w:hint="eastAsia" w:ascii="黑体" w:hAnsi="黑体" w:eastAsia="黑体"/>
              </w:rPr>
              <w:t xml:space="preserve">单价(元) </w:t>
            </w:r>
          </w:p>
        </w:tc>
        <w:tc>
          <w:tcPr>
            <w:tcW w:w="1545" w:type="dxa"/>
            <w:vAlign w:val="center"/>
          </w:tcPr>
          <w:p w14:paraId="2B1E0315">
            <w:pPr>
              <w:pStyle w:val="8"/>
              <w:pageBreakBefore w:val="0"/>
              <w:kinsoku/>
              <w:wordWrap/>
              <w:overflowPunct/>
              <w:topLinePunct w:val="0"/>
              <w:bidi w:val="0"/>
              <w:snapToGrid w:val="0"/>
              <w:spacing w:line="600" w:lineRule="exact"/>
              <w:jc w:val="center"/>
              <w:rPr>
                <w:rFonts w:hint="eastAsia" w:ascii="黑体" w:hAnsi="黑体" w:eastAsia="黑体"/>
              </w:rPr>
            </w:pPr>
            <w:r>
              <w:rPr>
                <w:rFonts w:hint="eastAsia" w:ascii="黑体" w:hAnsi="黑体" w:eastAsia="黑体"/>
              </w:rPr>
              <w:t>合价（万元）</w:t>
            </w:r>
          </w:p>
        </w:tc>
        <w:tc>
          <w:tcPr>
            <w:tcW w:w="960" w:type="dxa"/>
            <w:vAlign w:val="center"/>
          </w:tcPr>
          <w:p w14:paraId="3968FD25">
            <w:pPr>
              <w:pStyle w:val="8"/>
              <w:pageBreakBefore w:val="0"/>
              <w:kinsoku/>
              <w:wordWrap/>
              <w:overflowPunct/>
              <w:topLinePunct w:val="0"/>
              <w:bidi w:val="0"/>
              <w:snapToGrid w:val="0"/>
              <w:spacing w:line="600" w:lineRule="exact"/>
              <w:jc w:val="center"/>
              <w:rPr>
                <w:rFonts w:hint="eastAsia" w:ascii="黑体" w:hAnsi="黑体" w:eastAsia="黑体"/>
              </w:rPr>
            </w:pPr>
            <w:r>
              <w:rPr>
                <w:rFonts w:hint="eastAsia" w:ascii="黑体" w:hAnsi="黑体" w:eastAsia="黑体"/>
              </w:rPr>
              <w:t>备注</w:t>
            </w:r>
          </w:p>
        </w:tc>
      </w:tr>
      <w:tr w14:paraId="42DD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75" w:type="dxa"/>
            <w:vAlign w:val="center"/>
          </w:tcPr>
          <w:p w14:paraId="017DFA0D">
            <w:pPr>
              <w:pStyle w:val="8"/>
              <w:pageBreakBefore w:val="0"/>
              <w:kinsoku/>
              <w:wordWrap/>
              <w:overflowPunct/>
              <w:topLinePunct w:val="0"/>
              <w:bidi w:val="0"/>
              <w:snapToGrid w:val="0"/>
              <w:spacing w:line="600" w:lineRule="exact"/>
              <w:jc w:val="center"/>
              <w:rPr>
                <w:rFonts w:hint="eastAsia" w:ascii="黑体" w:hAnsi="黑体" w:eastAsia="黑体"/>
                <w:sz w:val="24"/>
                <w:szCs w:val="24"/>
              </w:rPr>
            </w:pPr>
            <w:r>
              <w:rPr>
                <w:rFonts w:hint="eastAsia" w:ascii="黑体" w:hAnsi="黑体" w:eastAsia="黑体"/>
                <w:sz w:val="24"/>
                <w:szCs w:val="24"/>
              </w:rPr>
              <w:t>1</w:t>
            </w:r>
          </w:p>
        </w:tc>
        <w:tc>
          <w:tcPr>
            <w:tcW w:w="626" w:type="dxa"/>
            <w:vAlign w:val="center"/>
          </w:tcPr>
          <w:p w14:paraId="58EE8768">
            <w:pPr>
              <w:pStyle w:val="8"/>
              <w:pageBreakBefore w:val="0"/>
              <w:kinsoku/>
              <w:wordWrap/>
              <w:overflowPunct/>
              <w:topLinePunct w:val="0"/>
              <w:bidi w:val="0"/>
              <w:snapToGrid w:val="0"/>
              <w:spacing w:line="600" w:lineRule="exact"/>
              <w:jc w:val="center"/>
              <w:rPr>
                <w:rFonts w:hint="eastAsia" w:ascii="黑体" w:hAnsi="黑体" w:eastAsia="黑体"/>
                <w:spacing w:val="-20"/>
                <w:sz w:val="24"/>
                <w:szCs w:val="24"/>
              </w:rPr>
            </w:pPr>
            <w:r>
              <w:rPr>
                <w:rFonts w:hint="eastAsia" w:ascii="黑体" w:hAnsi="黑体" w:eastAsia="黑体"/>
                <w:spacing w:val="-20"/>
                <w:sz w:val="24"/>
                <w:szCs w:val="24"/>
              </w:rPr>
              <w:t>批</w:t>
            </w:r>
          </w:p>
        </w:tc>
        <w:tc>
          <w:tcPr>
            <w:tcW w:w="859" w:type="dxa"/>
            <w:vAlign w:val="center"/>
          </w:tcPr>
          <w:p w14:paraId="51CD93F2">
            <w:pPr>
              <w:pStyle w:val="8"/>
              <w:pageBreakBefore w:val="0"/>
              <w:kinsoku/>
              <w:wordWrap/>
              <w:overflowPunct/>
              <w:topLinePunct w:val="0"/>
              <w:bidi w:val="0"/>
              <w:snapToGrid w:val="0"/>
              <w:spacing w:line="600" w:lineRule="exact"/>
              <w:jc w:val="center"/>
              <w:rPr>
                <w:rFonts w:hint="eastAsia" w:ascii="黑体" w:hAnsi="黑体" w:eastAsia="黑体"/>
                <w:spacing w:val="-20"/>
                <w:sz w:val="24"/>
                <w:szCs w:val="24"/>
              </w:rPr>
            </w:pPr>
            <w:r>
              <w:rPr>
                <w:rFonts w:hint="eastAsia" w:ascii="黑体" w:hAnsi="黑体" w:eastAsia="黑体"/>
                <w:spacing w:val="-20"/>
                <w:sz w:val="24"/>
                <w:szCs w:val="24"/>
              </w:rPr>
              <w:t xml:space="preserve">一 </w:t>
            </w:r>
          </w:p>
        </w:tc>
        <w:tc>
          <w:tcPr>
            <w:tcW w:w="3315" w:type="dxa"/>
            <w:vAlign w:val="center"/>
          </w:tcPr>
          <w:p w14:paraId="56B1972F">
            <w:pPr>
              <w:pageBreakBefore w:val="0"/>
              <w:kinsoku/>
              <w:wordWrap/>
              <w:overflowPunct/>
              <w:topLinePunct w:val="0"/>
              <w:bidi w:val="0"/>
              <w:snapToGrid w:val="0"/>
              <w:spacing w:line="600" w:lineRule="exact"/>
              <w:rPr>
                <w:rFonts w:hint="eastAsia" w:ascii="黑体" w:hAnsi="黑体" w:eastAsia="黑体"/>
                <w:sz w:val="24"/>
              </w:rPr>
            </w:pPr>
            <w:r>
              <w:rPr>
                <w:rFonts w:hint="eastAsia" w:ascii="仿宋_GB2312" w:hAnsi="方正小标宋简体" w:eastAsia="仿宋_GB2312" w:cs="方正小标宋简体"/>
                <w:bCs/>
                <w:sz w:val="30"/>
                <w:szCs w:val="30"/>
              </w:rPr>
              <w:t>内容见本项目谈判文件</w:t>
            </w:r>
            <w:r>
              <w:rPr>
                <w:rFonts w:eastAsia="仿宋_GB2312" w:cs="方正小标宋简体" w:asciiTheme="minorHAnsi" w:hAnsiTheme="minorHAnsi"/>
                <w:bCs/>
                <w:sz w:val="30"/>
                <w:szCs w:val="30"/>
              </w:rPr>
              <w:t>服务清单</w:t>
            </w:r>
            <w:r>
              <w:rPr>
                <w:rFonts w:hint="eastAsia" w:ascii="仿宋_GB2312" w:hAnsi="方正小标宋简体" w:eastAsia="仿宋_GB2312" w:cs="方正小标宋简体"/>
                <w:bCs/>
                <w:sz w:val="30"/>
                <w:szCs w:val="30"/>
              </w:rPr>
              <w:t>。</w:t>
            </w:r>
          </w:p>
        </w:tc>
        <w:tc>
          <w:tcPr>
            <w:tcW w:w="1380" w:type="dxa"/>
            <w:vAlign w:val="center"/>
          </w:tcPr>
          <w:p w14:paraId="7601D1F8">
            <w:pPr>
              <w:pStyle w:val="8"/>
              <w:pageBreakBefore w:val="0"/>
              <w:kinsoku/>
              <w:wordWrap/>
              <w:overflowPunct/>
              <w:topLinePunct w:val="0"/>
              <w:bidi w:val="0"/>
              <w:snapToGrid w:val="0"/>
              <w:spacing w:line="600" w:lineRule="exact"/>
            </w:pPr>
          </w:p>
        </w:tc>
        <w:tc>
          <w:tcPr>
            <w:tcW w:w="1545" w:type="dxa"/>
            <w:vAlign w:val="center"/>
          </w:tcPr>
          <w:p w14:paraId="3EE10683">
            <w:pPr>
              <w:pStyle w:val="8"/>
              <w:pageBreakBefore w:val="0"/>
              <w:kinsoku/>
              <w:wordWrap/>
              <w:overflowPunct/>
              <w:topLinePunct w:val="0"/>
              <w:bidi w:val="0"/>
              <w:snapToGrid w:val="0"/>
              <w:spacing w:line="600" w:lineRule="exact"/>
            </w:pPr>
            <w:r>
              <w:rPr>
                <w:rFonts w:hint="eastAsia"/>
              </w:rPr>
              <w:t>（小数点后保留2位）</w:t>
            </w:r>
          </w:p>
        </w:tc>
        <w:tc>
          <w:tcPr>
            <w:tcW w:w="960" w:type="dxa"/>
            <w:vAlign w:val="center"/>
          </w:tcPr>
          <w:p w14:paraId="59C3AD53">
            <w:pPr>
              <w:pStyle w:val="8"/>
              <w:pageBreakBefore w:val="0"/>
              <w:kinsoku/>
              <w:wordWrap/>
              <w:overflowPunct/>
              <w:topLinePunct w:val="0"/>
              <w:bidi w:val="0"/>
              <w:snapToGrid w:val="0"/>
              <w:spacing w:line="600" w:lineRule="exact"/>
              <w:rPr>
                <w:spacing w:val="-6"/>
              </w:rPr>
            </w:pPr>
          </w:p>
        </w:tc>
      </w:tr>
      <w:tr w14:paraId="334E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75" w:type="dxa"/>
            <w:vAlign w:val="center"/>
          </w:tcPr>
          <w:p w14:paraId="39EA4C8E">
            <w:pPr>
              <w:pStyle w:val="8"/>
              <w:pageBreakBefore w:val="0"/>
              <w:kinsoku/>
              <w:wordWrap/>
              <w:overflowPunct/>
              <w:topLinePunct w:val="0"/>
              <w:bidi w:val="0"/>
              <w:snapToGrid w:val="0"/>
              <w:spacing w:line="600" w:lineRule="exact"/>
              <w:jc w:val="center"/>
            </w:pPr>
          </w:p>
        </w:tc>
        <w:tc>
          <w:tcPr>
            <w:tcW w:w="626" w:type="dxa"/>
            <w:vAlign w:val="center"/>
          </w:tcPr>
          <w:p w14:paraId="6C87C54A">
            <w:pPr>
              <w:pStyle w:val="8"/>
              <w:pageBreakBefore w:val="0"/>
              <w:kinsoku/>
              <w:wordWrap/>
              <w:overflowPunct/>
              <w:topLinePunct w:val="0"/>
              <w:bidi w:val="0"/>
              <w:snapToGrid w:val="0"/>
              <w:spacing w:line="600" w:lineRule="exact"/>
            </w:pPr>
          </w:p>
        </w:tc>
        <w:tc>
          <w:tcPr>
            <w:tcW w:w="859" w:type="dxa"/>
            <w:vAlign w:val="center"/>
          </w:tcPr>
          <w:p w14:paraId="2FA8A2B1">
            <w:pPr>
              <w:pStyle w:val="8"/>
              <w:pageBreakBefore w:val="0"/>
              <w:kinsoku/>
              <w:wordWrap/>
              <w:overflowPunct/>
              <w:topLinePunct w:val="0"/>
              <w:bidi w:val="0"/>
              <w:snapToGrid w:val="0"/>
              <w:spacing w:line="600" w:lineRule="exact"/>
            </w:pPr>
          </w:p>
        </w:tc>
        <w:tc>
          <w:tcPr>
            <w:tcW w:w="3315" w:type="dxa"/>
            <w:vAlign w:val="center"/>
          </w:tcPr>
          <w:p w14:paraId="73762F0C">
            <w:pPr>
              <w:pStyle w:val="8"/>
              <w:pageBreakBefore w:val="0"/>
              <w:kinsoku/>
              <w:wordWrap/>
              <w:overflowPunct/>
              <w:topLinePunct w:val="0"/>
              <w:bidi w:val="0"/>
              <w:snapToGrid w:val="0"/>
              <w:spacing w:line="600" w:lineRule="exact"/>
            </w:pPr>
          </w:p>
        </w:tc>
        <w:tc>
          <w:tcPr>
            <w:tcW w:w="1380" w:type="dxa"/>
            <w:vAlign w:val="center"/>
          </w:tcPr>
          <w:p w14:paraId="17F7DBE5">
            <w:pPr>
              <w:pStyle w:val="8"/>
              <w:pageBreakBefore w:val="0"/>
              <w:kinsoku/>
              <w:wordWrap/>
              <w:overflowPunct/>
              <w:topLinePunct w:val="0"/>
              <w:bidi w:val="0"/>
              <w:snapToGrid w:val="0"/>
              <w:spacing w:line="600" w:lineRule="exact"/>
            </w:pPr>
          </w:p>
        </w:tc>
        <w:tc>
          <w:tcPr>
            <w:tcW w:w="1545" w:type="dxa"/>
            <w:vAlign w:val="center"/>
          </w:tcPr>
          <w:p w14:paraId="1ABB8F79">
            <w:pPr>
              <w:pStyle w:val="8"/>
              <w:pageBreakBefore w:val="0"/>
              <w:kinsoku/>
              <w:wordWrap/>
              <w:overflowPunct/>
              <w:topLinePunct w:val="0"/>
              <w:bidi w:val="0"/>
              <w:snapToGrid w:val="0"/>
              <w:spacing w:line="600" w:lineRule="exact"/>
            </w:pPr>
          </w:p>
        </w:tc>
        <w:tc>
          <w:tcPr>
            <w:tcW w:w="960" w:type="dxa"/>
            <w:vAlign w:val="center"/>
          </w:tcPr>
          <w:p w14:paraId="287BE009">
            <w:pPr>
              <w:pStyle w:val="8"/>
              <w:pageBreakBefore w:val="0"/>
              <w:kinsoku/>
              <w:wordWrap/>
              <w:overflowPunct/>
              <w:topLinePunct w:val="0"/>
              <w:bidi w:val="0"/>
              <w:snapToGrid w:val="0"/>
              <w:spacing w:line="600" w:lineRule="exact"/>
              <w:rPr>
                <w:spacing w:val="-6"/>
              </w:rPr>
            </w:pPr>
          </w:p>
        </w:tc>
      </w:tr>
      <w:tr w14:paraId="380A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75" w:type="dxa"/>
            <w:vAlign w:val="center"/>
          </w:tcPr>
          <w:p w14:paraId="68742A95">
            <w:pPr>
              <w:pStyle w:val="8"/>
              <w:pageBreakBefore w:val="0"/>
              <w:kinsoku/>
              <w:wordWrap/>
              <w:overflowPunct/>
              <w:topLinePunct w:val="0"/>
              <w:bidi w:val="0"/>
              <w:snapToGrid w:val="0"/>
              <w:spacing w:line="600" w:lineRule="exact"/>
              <w:jc w:val="center"/>
            </w:pPr>
          </w:p>
        </w:tc>
        <w:tc>
          <w:tcPr>
            <w:tcW w:w="626" w:type="dxa"/>
            <w:vAlign w:val="center"/>
          </w:tcPr>
          <w:p w14:paraId="4B928DA4">
            <w:pPr>
              <w:pStyle w:val="8"/>
              <w:pageBreakBefore w:val="0"/>
              <w:kinsoku/>
              <w:wordWrap/>
              <w:overflowPunct/>
              <w:topLinePunct w:val="0"/>
              <w:bidi w:val="0"/>
              <w:snapToGrid w:val="0"/>
              <w:spacing w:line="600" w:lineRule="exact"/>
            </w:pPr>
          </w:p>
        </w:tc>
        <w:tc>
          <w:tcPr>
            <w:tcW w:w="859" w:type="dxa"/>
            <w:vAlign w:val="center"/>
          </w:tcPr>
          <w:p w14:paraId="50509B8D">
            <w:pPr>
              <w:pStyle w:val="8"/>
              <w:pageBreakBefore w:val="0"/>
              <w:kinsoku/>
              <w:wordWrap/>
              <w:overflowPunct/>
              <w:topLinePunct w:val="0"/>
              <w:bidi w:val="0"/>
              <w:snapToGrid w:val="0"/>
              <w:spacing w:line="600" w:lineRule="exact"/>
            </w:pPr>
          </w:p>
        </w:tc>
        <w:tc>
          <w:tcPr>
            <w:tcW w:w="3315" w:type="dxa"/>
            <w:vAlign w:val="center"/>
          </w:tcPr>
          <w:p w14:paraId="3F6C5B4C">
            <w:pPr>
              <w:pStyle w:val="8"/>
              <w:pageBreakBefore w:val="0"/>
              <w:kinsoku/>
              <w:wordWrap/>
              <w:overflowPunct/>
              <w:topLinePunct w:val="0"/>
              <w:bidi w:val="0"/>
              <w:snapToGrid w:val="0"/>
              <w:spacing w:line="600" w:lineRule="exact"/>
            </w:pPr>
          </w:p>
        </w:tc>
        <w:tc>
          <w:tcPr>
            <w:tcW w:w="1380" w:type="dxa"/>
            <w:vAlign w:val="center"/>
          </w:tcPr>
          <w:p w14:paraId="3AF73BBD">
            <w:pPr>
              <w:pStyle w:val="8"/>
              <w:pageBreakBefore w:val="0"/>
              <w:kinsoku/>
              <w:wordWrap/>
              <w:overflowPunct/>
              <w:topLinePunct w:val="0"/>
              <w:bidi w:val="0"/>
              <w:snapToGrid w:val="0"/>
              <w:spacing w:line="600" w:lineRule="exact"/>
            </w:pPr>
          </w:p>
        </w:tc>
        <w:tc>
          <w:tcPr>
            <w:tcW w:w="1545" w:type="dxa"/>
            <w:vAlign w:val="center"/>
          </w:tcPr>
          <w:p w14:paraId="39BBA64A">
            <w:pPr>
              <w:pStyle w:val="8"/>
              <w:pageBreakBefore w:val="0"/>
              <w:kinsoku/>
              <w:wordWrap/>
              <w:overflowPunct/>
              <w:topLinePunct w:val="0"/>
              <w:bidi w:val="0"/>
              <w:snapToGrid w:val="0"/>
              <w:spacing w:line="600" w:lineRule="exact"/>
            </w:pPr>
          </w:p>
        </w:tc>
        <w:tc>
          <w:tcPr>
            <w:tcW w:w="960" w:type="dxa"/>
            <w:vAlign w:val="center"/>
          </w:tcPr>
          <w:p w14:paraId="6EE73C8C">
            <w:pPr>
              <w:pStyle w:val="8"/>
              <w:pageBreakBefore w:val="0"/>
              <w:kinsoku/>
              <w:wordWrap/>
              <w:overflowPunct/>
              <w:topLinePunct w:val="0"/>
              <w:bidi w:val="0"/>
              <w:snapToGrid w:val="0"/>
              <w:spacing w:line="600" w:lineRule="exact"/>
              <w:rPr>
                <w:spacing w:val="-6"/>
              </w:rPr>
            </w:pPr>
          </w:p>
        </w:tc>
      </w:tr>
      <w:tr w14:paraId="6F08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1301" w:type="dxa"/>
            <w:gridSpan w:val="2"/>
            <w:vAlign w:val="center"/>
          </w:tcPr>
          <w:p w14:paraId="0DC06260">
            <w:pPr>
              <w:pStyle w:val="8"/>
              <w:pageBreakBefore w:val="0"/>
              <w:kinsoku/>
              <w:wordWrap/>
              <w:overflowPunct/>
              <w:topLinePunct w:val="0"/>
              <w:bidi w:val="0"/>
              <w:snapToGrid w:val="0"/>
              <w:spacing w:line="600" w:lineRule="exact"/>
            </w:pPr>
            <w:r>
              <w:rPr>
                <w:rFonts w:hint="eastAsia"/>
              </w:rPr>
              <w:t>报价小计</w:t>
            </w:r>
          </w:p>
        </w:tc>
        <w:tc>
          <w:tcPr>
            <w:tcW w:w="8059" w:type="dxa"/>
            <w:gridSpan w:val="5"/>
            <w:vAlign w:val="center"/>
          </w:tcPr>
          <w:p w14:paraId="288AC735">
            <w:pPr>
              <w:pStyle w:val="8"/>
              <w:pageBreakBefore w:val="0"/>
              <w:kinsoku/>
              <w:wordWrap/>
              <w:overflowPunct/>
              <w:topLinePunct w:val="0"/>
              <w:bidi w:val="0"/>
              <w:snapToGrid w:val="0"/>
              <w:spacing w:line="600" w:lineRule="exact"/>
              <w:rPr>
                <w:spacing w:val="-6"/>
              </w:rPr>
            </w:pPr>
            <w:r>
              <w:rPr>
                <w:rFonts w:hint="eastAsia"/>
                <w:spacing w:val="-6"/>
              </w:rPr>
              <w:t>（大写）人民币</w:t>
            </w:r>
            <w:r>
              <w:rPr>
                <w:rFonts w:hint="eastAsia"/>
                <w:spacing w:val="-6"/>
                <w:u w:val="single"/>
              </w:rPr>
              <w:t xml:space="preserve">                                       </w:t>
            </w:r>
            <w:r>
              <w:rPr>
                <w:rFonts w:hint="eastAsia"/>
                <w:spacing w:val="-6"/>
              </w:rPr>
              <w:t>（￥</w:t>
            </w:r>
            <w:r>
              <w:rPr>
                <w:rFonts w:hint="eastAsia"/>
                <w:spacing w:val="-6"/>
                <w:u w:val="single"/>
              </w:rPr>
              <w:t xml:space="preserve">                </w:t>
            </w:r>
            <w:r>
              <w:rPr>
                <w:rFonts w:hint="eastAsia"/>
                <w:spacing w:val="-6"/>
              </w:rPr>
              <w:t>元）</w:t>
            </w:r>
          </w:p>
        </w:tc>
      </w:tr>
      <w:tr w14:paraId="7AC2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9360" w:type="dxa"/>
            <w:gridSpan w:val="7"/>
            <w:vAlign w:val="center"/>
          </w:tcPr>
          <w:p w14:paraId="45F59E31">
            <w:pPr>
              <w:pStyle w:val="8"/>
              <w:pageBreakBefore w:val="0"/>
              <w:kinsoku/>
              <w:wordWrap/>
              <w:overflowPunct/>
              <w:topLinePunct w:val="0"/>
              <w:bidi w:val="0"/>
              <w:snapToGrid w:val="0"/>
              <w:spacing w:line="600" w:lineRule="exact"/>
              <w:rPr>
                <w:spacing w:val="-6"/>
              </w:rPr>
            </w:pPr>
            <w:r>
              <w:rPr>
                <w:rFonts w:hint="eastAsia"/>
                <w:spacing w:val="-6"/>
              </w:rPr>
              <w:t>备注：以上报价包含人工劳务、设备投入、图纸印制、成果、差旅、保险、税费、利润、知识产权等完成本项目所需的一切费用。</w:t>
            </w:r>
          </w:p>
        </w:tc>
      </w:tr>
    </w:tbl>
    <w:p w14:paraId="14D1DAB9">
      <w:pPr>
        <w:pStyle w:val="8"/>
        <w:pageBreakBefore w:val="0"/>
        <w:kinsoku/>
        <w:wordWrap/>
        <w:overflowPunct/>
        <w:topLinePunct w:val="0"/>
        <w:bidi w:val="0"/>
        <w:snapToGrid w:val="0"/>
        <w:spacing w:line="600" w:lineRule="exact"/>
        <w:rPr>
          <w:rFonts w:ascii="仿宋_GB2312" w:hAnsi="Times New Roman" w:eastAsia="仿宋_GB2312"/>
          <w:sz w:val="32"/>
          <w:szCs w:val="32"/>
          <w:u w:val="single"/>
        </w:rPr>
      </w:pPr>
      <w:r>
        <w:rPr>
          <w:rFonts w:hint="eastAsia" w:ascii="仿宋_GB2312" w:hAnsi="Times New Roman" w:eastAsia="仿宋_GB2312"/>
          <w:sz w:val="32"/>
          <w:szCs w:val="32"/>
        </w:rPr>
        <w:t>参与单位全称（盖单位公章）：</w:t>
      </w:r>
      <w:r>
        <w:rPr>
          <w:rFonts w:hint="eastAsia" w:ascii="仿宋_GB2312" w:hAnsi="Times New Roman" w:eastAsia="仿宋_GB2312"/>
          <w:sz w:val="32"/>
          <w:szCs w:val="32"/>
          <w:u w:val="single"/>
        </w:rPr>
        <w:t xml:space="preserve">                                </w:t>
      </w:r>
    </w:p>
    <w:p w14:paraId="51C0B04A">
      <w:pPr>
        <w:pStyle w:val="8"/>
        <w:pageBreakBefore w:val="0"/>
        <w:kinsoku/>
        <w:wordWrap/>
        <w:overflowPunct/>
        <w:topLinePunct w:val="0"/>
        <w:bidi w:val="0"/>
        <w:snapToGrid w:val="0"/>
        <w:spacing w:line="600" w:lineRule="exact"/>
        <w:rPr>
          <w:rFonts w:ascii="仿宋_GB2312" w:hAnsi="Times New Roman" w:eastAsia="仿宋_GB2312"/>
          <w:sz w:val="32"/>
          <w:szCs w:val="32"/>
          <w:u w:val="single"/>
        </w:rPr>
      </w:pPr>
      <w:r>
        <w:rPr>
          <w:rFonts w:hint="eastAsia" w:ascii="仿宋_GB2312" w:hAnsi="Times New Roman" w:eastAsia="仿宋_GB2312"/>
          <w:sz w:val="32"/>
          <w:szCs w:val="32"/>
        </w:rPr>
        <w:t>法定代表人或其委托代理人（签字或盖章）：</w:t>
      </w:r>
      <w:r>
        <w:rPr>
          <w:rFonts w:hint="eastAsia" w:ascii="仿宋_GB2312" w:hAnsi="Times New Roman" w:eastAsia="仿宋_GB2312"/>
          <w:sz w:val="32"/>
          <w:szCs w:val="32"/>
          <w:u w:val="single"/>
        </w:rPr>
        <w:t xml:space="preserve">                  </w:t>
      </w:r>
    </w:p>
    <w:p w14:paraId="55927E1D">
      <w:pPr>
        <w:pageBreakBefore w:val="0"/>
        <w:kinsoku/>
        <w:wordWrap/>
        <w:overflowPunct/>
        <w:topLinePunct w:val="0"/>
        <w:autoSpaceDE w:val="0"/>
        <w:autoSpaceDN w:val="0"/>
        <w:bidi w:val="0"/>
        <w:adjustRightInd w:val="0"/>
        <w:snapToGrid w:val="0"/>
        <w:spacing w:line="600" w:lineRule="exact"/>
        <w:jc w:val="center"/>
        <w:rPr>
          <w:rFonts w:hint="eastAsia" w:eastAsia="宋体"/>
          <w:lang w:val="en-US" w:eastAsia="zh-CN"/>
        </w:rPr>
      </w:pPr>
      <w:r>
        <w:rPr>
          <w:rFonts w:hint="eastAsia" w:ascii="仿宋_GB2312" w:eastAsia="仿宋_GB2312"/>
          <w:sz w:val="32"/>
          <w:szCs w:val="32"/>
        </w:rPr>
        <w:t xml:space="preserve">日期：  </w:t>
      </w:r>
      <w:r>
        <w:rPr>
          <w:rFonts w:hint="eastAsia" w:ascii="仿宋_GB2312" w:eastAsia="仿宋_GB2312"/>
          <w:sz w:val="32"/>
          <w:szCs w:val="32"/>
          <w:u w:val="single"/>
        </w:rPr>
        <w:t xml:space="preserve">          年      月    日 </w:t>
      </w:r>
    </w:p>
    <w:sectPr>
      <w:footerReference r:id="rId3" w:type="default"/>
      <w:pgSz w:w="11906" w:h="16838"/>
      <w:pgMar w:top="1984"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FDAAD2-71AB-4320-A4A3-D9A4F984D4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E36F96-73FD-4D88-863C-69797BDA8159}"/>
  </w:font>
  <w:font w:name="仿宋_GB2312">
    <w:panose1 w:val="02010609030101010101"/>
    <w:charset w:val="86"/>
    <w:family w:val="modern"/>
    <w:pitch w:val="default"/>
    <w:sig w:usb0="00000001" w:usb1="080E0000" w:usb2="00000000" w:usb3="00000000" w:csb0="00040000" w:csb1="00000000"/>
    <w:embedRegular r:id="rId3" w:fontKey="{2DFB3678-FE94-499C-813E-64C84206AE7A}"/>
  </w:font>
  <w:font w:name="楷体_GB2312">
    <w:panose1 w:val="02010609030101010101"/>
    <w:charset w:val="86"/>
    <w:family w:val="modern"/>
    <w:pitch w:val="default"/>
    <w:sig w:usb0="00000001" w:usb1="080E0000" w:usb2="00000000" w:usb3="00000000" w:csb0="00040000" w:csb1="00000000"/>
    <w:embedRegular r:id="rId4" w:fontKey="{20F4CCF0-2AA8-4433-944D-BAF01D112D7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宋体-简">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5" w:fontKey="{EECAE198-53C1-499A-B23D-10C2636FAEF6}"/>
  </w:font>
  <w:font w:name="方正大标宋简体">
    <w:panose1 w:val="02000000000000000000"/>
    <w:charset w:val="86"/>
    <w:family w:val="auto"/>
    <w:pitch w:val="default"/>
    <w:sig w:usb0="A00002BF" w:usb1="184F6CFA" w:usb2="00000012" w:usb3="00000000" w:csb0="00040001" w:csb1="00000000"/>
    <w:embedRegular r:id="rId6" w:fontKey="{D56D773B-311B-4B53-9F51-F37CAFB67DE6}"/>
  </w:font>
  <w:font w:name="楷体">
    <w:panose1 w:val="02010609060101010101"/>
    <w:charset w:val="86"/>
    <w:family w:val="modern"/>
    <w:pitch w:val="default"/>
    <w:sig w:usb0="800002BF" w:usb1="38CF7CFA" w:usb2="00000016" w:usb3="00000000" w:csb0="00040001" w:csb1="00000000"/>
    <w:embedRegular r:id="rId7" w:fontKey="{5EADC8D9-1DDA-4096-A6D2-968D643B3D64}"/>
  </w:font>
  <w:font w:name="方正仿宋_GB2312">
    <w:panose1 w:val="02000000000000000000"/>
    <w:charset w:val="86"/>
    <w:family w:val="auto"/>
    <w:pitch w:val="default"/>
    <w:sig w:usb0="A00002BF" w:usb1="184F6CFA" w:usb2="00000012" w:usb3="00000000" w:csb0="00040001" w:csb1="00000000"/>
    <w:embedRegular r:id="rId8" w:fontKey="{4B6B6948-2C69-4D05-9401-29B8E44F5EA3}"/>
  </w:font>
  <w:font w:name="微软雅黑">
    <w:panose1 w:val="020B0503020204020204"/>
    <w:charset w:val="86"/>
    <w:family w:val="swiss"/>
    <w:pitch w:val="default"/>
    <w:sig w:usb0="80000287" w:usb1="2ACF3C50" w:usb2="00000016" w:usb3="00000000" w:csb0="0004001F" w:csb1="00000000"/>
    <w:embedRegular r:id="rId9" w:fontKey="{D0FCD61F-CD39-4636-9B2D-2E32599C2E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860336"/>
      <w:docPartObj>
        <w:docPartGallery w:val="autotext"/>
      </w:docPartObj>
    </w:sdtPr>
    <w:sdtContent>
      <w:sdt>
        <w:sdtPr>
          <w:id w:val="1728636285"/>
          <w:docPartObj>
            <w:docPartGallery w:val="autotext"/>
          </w:docPartObj>
        </w:sdtPr>
        <w:sdtContent>
          <w:p w14:paraId="61B3AD5D">
            <w:pPr>
              <w:pStyle w:val="11"/>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29</w:t>
            </w:r>
            <w:r>
              <w:rPr>
                <w:b/>
                <w:bCs/>
                <w:sz w:val="24"/>
              </w:rPr>
              <w:fldChar w:fldCharType="end"/>
            </w:r>
          </w:p>
        </w:sdtContent>
      </w:sdt>
    </w:sdtContent>
  </w:sdt>
  <w:p w14:paraId="450EB13C">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9D58B"/>
    <w:multiLevelType w:val="singleLevel"/>
    <w:tmpl w:val="BC19D58B"/>
    <w:lvl w:ilvl="0" w:tentative="0">
      <w:start w:val="3"/>
      <w:numFmt w:val="chineseCounting"/>
      <w:suff w:val="nothing"/>
      <w:lvlText w:val="（%1）"/>
      <w:lvlJc w:val="left"/>
      <w:rPr>
        <w:rFonts w:hint="eastAsia"/>
      </w:rPr>
    </w:lvl>
  </w:abstractNum>
  <w:abstractNum w:abstractNumId="1">
    <w:nsid w:val="7B05686D"/>
    <w:multiLevelType w:val="singleLevel"/>
    <w:tmpl w:val="7B05686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MTA1MGVkMDcyZWYzYzFlMDE4ZWRmY2NlNDRmNGIifQ=="/>
  </w:docVars>
  <w:rsids>
    <w:rsidRoot w:val="7A436B23"/>
    <w:rsid w:val="00010B49"/>
    <w:rsid w:val="00011C27"/>
    <w:rsid w:val="00026A29"/>
    <w:rsid w:val="0003205F"/>
    <w:rsid w:val="00061800"/>
    <w:rsid w:val="0008779A"/>
    <w:rsid w:val="000A1C7C"/>
    <w:rsid w:val="000B1576"/>
    <w:rsid w:val="000B5A1A"/>
    <w:rsid w:val="000F40D7"/>
    <w:rsid w:val="00111B05"/>
    <w:rsid w:val="00116046"/>
    <w:rsid w:val="00123938"/>
    <w:rsid w:val="00131AEC"/>
    <w:rsid w:val="00147AE3"/>
    <w:rsid w:val="001500B5"/>
    <w:rsid w:val="0017637E"/>
    <w:rsid w:val="0018330B"/>
    <w:rsid w:val="00197E02"/>
    <w:rsid w:val="001A11D0"/>
    <w:rsid w:val="001D5BAB"/>
    <w:rsid w:val="001F50B7"/>
    <w:rsid w:val="00234C6D"/>
    <w:rsid w:val="00243241"/>
    <w:rsid w:val="00261091"/>
    <w:rsid w:val="00275BF4"/>
    <w:rsid w:val="0029183C"/>
    <w:rsid w:val="002A0B94"/>
    <w:rsid w:val="002A30E6"/>
    <w:rsid w:val="002A76E3"/>
    <w:rsid w:val="002B4AE3"/>
    <w:rsid w:val="002C2CDE"/>
    <w:rsid w:val="002D2C42"/>
    <w:rsid w:val="002E5273"/>
    <w:rsid w:val="00311A4A"/>
    <w:rsid w:val="00327872"/>
    <w:rsid w:val="0035282F"/>
    <w:rsid w:val="0035585A"/>
    <w:rsid w:val="003608A7"/>
    <w:rsid w:val="00375DF4"/>
    <w:rsid w:val="00380C34"/>
    <w:rsid w:val="0038117E"/>
    <w:rsid w:val="00396EAC"/>
    <w:rsid w:val="003C27CF"/>
    <w:rsid w:val="003E0DA5"/>
    <w:rsid w:val="003E3912"/>
    <w:rsid w:val="003F5F78"/>
    <w:rsid w:val="003F6615"/>
    <w:rsid w:val="00417E06"/>
    <w:rsid w:val="00422172"/>
    <w:rsid w:val="00425035"/>
    <w:rsid w:val="00425667"/>
    <w:rsid w:val="00426A74"/>
    <w:rsid w:val="004373EF"/>
    <w:rsid w:val="00445F5C"/>
    <w:rsid w:val="00456E91"/>
    <w:rsid w:val="00484D25"/>
    <w:rsid w:val="0049164E"/>
    <w:rsid w:val="004A2676"/>
    <w:rsid w:val="004A3656"/>
    <w:rsid w:val="004B6148"/>
    <w:rsid w:val="004C435C"/>
    <w:rsid w:val="004D4544"/>
    <w:rsid w:val="00510572"/>
    <w:rsid w:val="00512CFC"/>
    <w:rsid w:val="005249AA"/>
    <w:rsid w:val="00525895"/>
    <w:rsid w:val="00533213"/>
    <w:rsid w:val="005438E2"/>
    <w:rsid w:val="005456EC"/>
    <w:rsid w:val="00546699"/>
    <w:rsid w:val="005576D6"/>
    <w:rsid w:val="00561A05"/>
    <w:rsid w:val="005663D6"/>
    <w:rsid w:val="005671B2"/>
    <w:rsid w:val="005705DD"/>
    <w:rsid w:val="00570D03"/>
    <w:rsid w:val="005736BD"/>
    <w:rsid w:val="00574519"/>
    <w:rsid w:val="005A2380"/>
    <w:rsid w:val="005A4688"/>
    <w:rsid w:val="005C4903"/>
    <w:rsid w:val="005D257E"/>
    <w:rsid w:val="0060152B"/>
    <w:rsid w:val="00617C0A"/>
    <w:rsid w:val="0065690E"/>
    <w:rsid w:val="00662602"/>
    <w:rsid w:val="0067224B"/>
    <w:rsid w:val="00674BF3"/>
    <w:rsid w:val="00686FA6"/>
    <w:rsid w:val="00687B2A"/>
    <w:rsid w:val="00691596"/>
    <w:rsid w:val="006C0734"/>
    <w:rsid w:val="006C132C"/>
    <w:rsid w:val="006C7A65"/>
    <w:rsid w:val="006D0106"/>
    <w:rsid w:val="006D71A6"/>
    <w:rsid w:val="0071061E"/>
    <w:rsid w:val="007129AE"/>
    <w:rsid w:val="00712CF8"/>
    <w:rsid w:val="00713D6E"/>
    <w:rsid w:val="007234EC"/>
    <w:rsid w:val="00733732"/>
    <w:rsid w:val="00736648"/>
    <w:rsid w:val="00737222"/>
    <w:rsid w:val="00791C9E"/>
    <w:rsid w:val="00792149"/>
    <w:rsid w:val="007C1B88"/>
    <w:rsid w:val="007E2F18"/>
    <w:rsid w:val="00802D65"/>
    <w:rsid w:val="00804B13"/>
    <w:rsid w:val="00805217"/>
    <w:rsid w:val="00851233"/>
    <w:rsid w:val="00853032"/>
    <w:rsid w:val="00867C7C"/>
    <w:rsid w:val="008B74CE"/>
    <w:rsid w:val="008C0A4E"/>
    <w:rsid w:val="008C74DA"/>
    <w:rsid w:val="008D6C08"/>
    <w:rsid w:val="008D6EB4"/>
    <w:rsid w:val="00930F60"/>
    <w:rsid w:val="00932B56"/>
    <w:rsid w:val="00953F3E"/>
    <w:rsid w:val="0097099A"/>
    <w:rsid w:val="0098557F"/>
    <w:rsid w:val="00993BCE"/>
    <w:rsid w:val="009C278D"/>
    <w:rsid w:val="009E0FF8"/>
    <w:rsid w:val="009F415A"/>
    <w:rsid w:val="009F7F1D"/>
    <w:rsid w:val="00A0384C"/>
    <w:rsid w:val="00A047C4"/>
    <w:rsid w:val="00A3293D"/>
    <w:rsid w:val="00A459E3"/>
    <w:rsid w:val="00A526CF"/>
    <w:rsid w:val="00A54511"/>
    <w:rsid w:val="00A61BF5"/>
    <w:rsid w:val="00A61DE4"/>
    <w:rsid w:val="00A7317F"/>
    <w:rsid w:val="00A877FD"/>
    <w:rsid w:val="00A9796C"/>
    <w:rsid w:val="00AC714E"/>
    <w:rsid w:val="00AD7F7F"/>
    <w:rsid w:val="00AE4362"/>
    <w:rsid w:val="00AE7E2D"/>
    <w:rsid w:val="00AF01C6"/>
    <w:rsid w:val="00AF5709"/>
    <w:rsid w:val="00B05B62"/>
    <w:rsid w:val="00B0760E"/>
    <w:rsid w:val="00B1489E"/>
    <w:rsid w:val="00B2603F"/>
    <w:rsid w:val="00B42A11"/>
    <w:rsid w:val="00B43926"/>
    <w:rsid w:val="00B4458C"/>
    <w:rsid w:val="00B470A7"/>
    <w:rsid w:val="00B476D6"/>
    <w:rsid w:val="00B54170"/>
    <w:rsid w:val="00B631F5"/>
    <w:rsid w:val="00B669B2"/>
    <w:rsid w:val="00B72429"/>
    <w:rsid w:val="00BA6EFF"/>
    <w:rsid w:val="00BB03F0"/>
    <w:rsid w:val="00BB6E7F"/>
    <w:rsid w:val="00BC68E0"/>
    <w:rsid w:val="00BD4E02"/>
    <w:rsid w:val="00BE1FAC"/>
    <w:rsid w:val="00BF3AD8"/>
    <w:rsid w:val="00BF40EE"/>
    <w:rsid w:val="00BF472D"/>
    <w:rsid w:val="00C213A8"/>
    <w:rsid w:val="00C311B8"/>
    <w:rsid w:val="00C617A5"/>
    <w:rsid w:val="00C73F71"/>
    <w:rsid w:val="00C74A29"/>
    <w:rsid w:val="00C77813"/>
    <w:rsid w:val="00C84390"/>
    <w:rsid w:val="00C85D2D"/>
    <w:rsid w:val="00C91015"/>
    <w:rsid w:val="00CC371C"/>
    <w:rsid w:val="00CC395B"/>
    <w:rsid w:val="00CC6C2A"/>
    <w:rsid w:val="00CD1C41"/>
    <w:rsid w:val="00CD7F50"/>
    <w:rsid w:val="00D11CF2"/>
    <w:rsid w:val="00D14CF0"/>
    <w:rsid w:val="00D26CBB"/>
    <w:rsid w:val="00D44156"/>
    <w:rsid w:val="00D457B7"/>
    <w:rsid w:val="00D53BE4"/>
    <w:rsid w:val="00DC3E12"/>
    <w:rsid w:val="00DC5128"/>
    <w:rsid w:val="00DC59B8"/>
    <w:rsid w:val="00DC73FE"/>
    <w:rsid w:val="00DF4904"/>
    <w:rsid w:val="00DF5157"/>
    <w:rsid w:val="00E1100E"/>
    <w:rsid w:val="00E214C3"/>
    <w:rsid w:val="00E35AD6"/>
    <w:rsid w:val="00E46D7D"/>
    <w:rsid w:val="00E61B7C"/>
    <w:rsid w:val="00E61D82"/>
    <w:rsid w:val="00E657D3"/>
    <w:rsid w:val="00E969F5"/>
    <w:rsid w:val="00EB24EC"/>
    <w:rsid w:val="00F2017A"/>
    <w:rsid w:val="00F33888"/>
    <w:rsid w:val="00F80132"/>
    <w:rsid w:val="00F8062F"/>
    <w:rsid w:val="00FC4146"/>
    <w:rsid w:val="00FF3A19"/>
    <w:rsid w:val="020250C4"/>
    <w:rsid w:val="031E7902"/>
    <w:rsid w:val="04015844"/>
    <w:rsid w:val="051209D2"/>
    <w:rsid w:val="0523286B"/>
    <w:rsid w:val="0571136F"/>
    <w:rsid w:val="09F45FD8"/>
    <w:rsid w:val="0E7C4D4F"/>
    <w:rsid w:val="0EF5194A"/>
    <w:rsid w:val="11246955"/>
    <w:rsid w:val="12D80CC8"/>
    <w:rsid w:val="16571306"/>
    <w:rsid w:val="166F3AAD"/>
    <w:rsid w:val="17A10C48"/>
    <w:rsid w:val="17C43DA1"/>
    <w:rsid w:val="19F53DD2"/>
    <w:rsid w:val="1AEB3784"/>
    <w:rsid w:val="1CA84CE4"/>
    <w:rsid w:val="20324B6D"/>
    <w:rsid w:val="21077FD5"/>
    <w:rsid w:val="25763563"/>
    <w:rsid w:val="25822292"/>
    <w:rsid w:val="258978A7"/>
    <w:rsid w:val="25D03EE9"/>
    <w:rsid w:val="26302B1C"/>
    <w:rsid w:val="2736480B"/>
    <w:rsid w:val="28920A3E"/>
    <w:rsid w:val="2B3C2CEF"/>
    <w:rsid w:val="2CCC472F"/>
    <w:rsid w:val="2D2C4016"/>
    <w:rsid w:val="2D6744D8"/>
    <w:rsid w:val="2D93477E"/>
    <w:rsid w:val="2E865844"/>
    <w:rsid w:val="2EF73CF0"/>
    <w:rsid w:val="31493A44"/>
    <w:rsid w:val="32D30E12"/>
    <w:rsid w:val="32E85BEA"/>
    <w:rsid w:val="33680D19"/>
    <w:rsid w:val="339E3C79"/>
    <w:rsid w:val="354D466A"/>
    <w:rsid w:val="3AEB4C5A"/>
    <w:rsid w:val="3BEC6D9A"/>
    <w:rsid w:val="3C76547A"/>
    <w:rsid w:val="3F8B318A"/>
    <w:rsid w:val="3FC03C8B"/>
    <w:rsid w:val="40822062"/>
    <w:rsid w:val="408F6BC4"/>
    <w:rsid w:val="4265763C"/>
    <w:rsid w:val="4C5E60F3"/>
    <w:rsid w:val="4EEB2C7B"/>
    <w:rsid w:val="4FDB183F"/>
    <w:rsid w:val="500F7D3A"/>
    <w:rsid w:val="50A15412"/>
    <w:rsid w:val="527A3089"/>
    <w:rsid w:val="52F927C5"/>
    <w:rsid w:val="5320111C"/>
    <w:rsid w:val="55646423"/>
    <w:rsid w:val="58413EBE"/>
    <w:rsid w:val="586E5E48"/>
    <w:rsid w:val="5B2960B8"/>
    <w:rsid w:val="5DD55A1C"/>
    <w:rsid w:val="5E501AA3"/>
    <w:rsid w:val="5E907131"/>
    <w:rsid w:val="5EE229A7"/>
    <w:rsid w:val="5F4B24E9"/>
    <w:rsid w:val="62370383"/>
    <w:rsid w:val="64665A94"/>
    <w:rsid w:val="664C3D13"/>
    <w:rsid w:val="68960896"/>
    <w:rsid w:val="68F640E8"/>
    <w:rsid w:val="696E339A"/>
    <w:rsid w:val="6BDE1CFD"/>
    <w:rsid w:val="6C540C82"/>
    <w:rsid w:val="6CE338A0"/>
    <w:rsid w:val="6D040E34"/>
    <w:rsid w:val="6E7C229F"/>
    <w:rsid w:val="6FA70CE0"/>
    <w:rsid w:val="73A16E05"/>
    <w:rsid w:val="73D14ACF"/>
    <w:rsid w:val="755856B3"/>
    <w:rsid w:val="766F639D"/>
    <w:rsid w:val="7A436B23"/>
    <w:rsid w:val="7B7A1A12"/>
    <w:rsid w:val="7BC372A2"/>
    <w:rsid w:val="7BEE6EAE"/>
    <w:rsid w:val="7FE4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4"/>
    <w:qFormat/>
    <w:uiPriority w:val="0"/>
    <w:pPr>
      <w:ind w:firstLine="200" w:firstLineChars="200"/>
    </w:pPr>
  </w:style>
  <w:style w:type="paragraph" w:styleId="6">
    <w:name w:val="Body Text"/>
    <w:basedOn w:val="1"/>
    <w:next w:val="1"/>
    <w:qFormat/>
    <w:uiPriority w:val="0"/>
    <w:pPr>
      <w:spacing w:after="120"/>
    </w:pPr>
  </w:style>
  <w:style w:type="paragraph" w:styleId="7">
    <w:name w:val="Body Text Indent"/>
    <w:basedOn w:val="1"/>
    <w:qFormat/>
    <w:uiPriority w:val="0"/>
    <w:pPr>
      <w:spacing w:line="700" w:lineRule="exact"/>
      <w:ind w:left="960"/>
    </w:pPr>
    <w:rPr>
      <w:rFonts w:ascii="Times New Roman" w:hAnsi="Times New Roman"/>
      <w:sz w:val="44"/>
      <w:szCs w:val="20"/>
    </w:rPr>
  </w:style>
  <w:style w:type="paragraph" w:styleId="8">
    <w:name w:val="Plain Text"/>
    <w:basedOn w:val="1"/>
    <w:link w:val="32"/>
    <w:qFormat/>
    <w:uiPriority w:val="0"/>
    <w:rPr>
      <w:rFonts w:ascii="宋体" w:hAnsi="Courier New"/>
      <w:szCs w:val="20"/>
    </w:rPr>
  </w:style>
  <w:style w:type="paragraph" w:styleId="9">
    <w:name w:val="Date"/>
    <w:basedOn w:val="1"/>
    <w:next w:val="1"/>
    <w:link w:val="37"/>
    <w:qFormat/>
    <w:uiPriority w:val="0"/>
    <w:pPr>
      <w:ind w:left="100" w:leftChars="2500"/>
    </w:pPr>
  </w:style>
  <w:style w:type="paragraph" w:styleId="10">
    <w:name w:val="Balloon Text"/>
    <w:basedOn w:val="1"/>
    <w:link w:val="33"/>
    <w:qFormat/>
    <w:uiPriority w:val="0"/>
    <w:rPr>
      <w:rFonts w:ascii="Times New Roman" w:hAnsi="Times New Roman"/>
      <w:sz w:val="18"/>
      <w:szCs w:val="18"/>
    </w:rPr>
  </w:style>
  <w:style w:type="paragraph" w:styleId="11">
    <w:name w:val="footer"/>
    <w:basedOn w:val="1"/>
    <w:link w:val="30"/>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w:basedOn w:val="6"/>
    <w:qFormat/>
    <w:uiPriority w:val="0"/>
    <w:pPr>
      <w:spacing w:line="360" w:lineRule="auto"/>
      <w:ind w:left="1200" w:leftChars="500" w:firstLine="420" w:firstLineChars="100"/>
    </w:pPr>
    <w:rPr>
      <w:spacing w:val="-5"/>
      <w:kern w:val="0"/>
      <w:sz w:val="24"/>
    </w:rPr>
  </w:style>
  <w:style w:type="character" w:styleId="17">
    <w:name w:val="FollowedHyperlink"/>
    <w:basedOn w:val="16"/>
    <w:qFormat/>
    <w:uiPriority w:val="0"/>
    <w:rPr>
      <w:color w:val="800080"/>
      <w:u w:val="none"/>
    </w:rPr>
  </w:style>
  <w:style w:type="character" w:styleId="18">
    <w:name w:val="Emphasis"/>
    <w:basedOn w:val="16"/>
    <w:qFormat/>
    <w:uiPriority w:val="0"/>
  </w:style>
  <w:style w:type="character" w:styleId="19">
    <w:name w:val="Hyperlink"/>
    <w:basedOn w:val="16"/>
    <w:qFormat/>
    <w:uiPriority w:val="0"/>
    <w:rPr>
      <w:color w:val="0000FF"/>
      <w:u w:val="none"/>
    </w:rPr>
  </w:style>
  <w:style w:type="character" w:customStyle="1" w:styleId="20">
    <w:name w:val="on"/>
    <w:basedOn w:val="16"/>
    <w:qFormat/>
    <w:uiPriority w:val="0"/>
    <w:rPr>
      <w:color w:val="FFFFFF"/>
      <w:shd w:val="clear" w:color="auto" w:fill="333333"/>
    </w:rPr>
  </w:style>
  <w:style w:type="character" w:customStyle="1" w:styleId="21">
    <w:name w:val="rules_last"/>
    <w:basedOn w:val="16"/>
    <w:qFormat/>
    <w:uiPriority w:val="0"/>
    <w:rPr>
      <w:color w:val="404040"/>
    </w:rPr>
  </w:style>
  <w:style w:type="character" w:customStyle="1" w:styleId="22">
    <w:name w:val="item-name"/>
    <w:basedOn w:val="16"/>
    <w:qFormat/>
    <w:uiPriority w:val="0"/>
  </w:style>
  <w:style w:type="character" w:customStyle="1" w:styleId="23">
    <w:name w:val="item-name1"/>
    <w:basedOn w:val="16"/>
    <w:qFormat/>
    <w:uiPriority w:val="0"/>
  </w:style>
  <w:style w:type="character" w:customStyle="1" w:styleId="24">
    <w:name w:val="active"/>
    <w:basedOn w:val="16"/>
    <w:qFormat/>
    <w:uiPriority w:val="0"/>
    <w:rPr>
      <w:color w:val="FFFFFF"/>
      <w:shd w:val="clear" w:color="auto" w:fill="045E97"/>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_Style 2"/>
    <w:basedOn w:val="1"/>
    <w:qFormat/>
    <w:uiPriority w:val="0"/>
    <w:pPr>
      <w:ind w:firstLine="420" w:firstLineChars="200"/>
    </w:pPr>
    <w:rPr>
      <w:kern w:val="0"/>
      <w:sz w:val="34"/>
      <w:szCs w:val="22"/>
    </w:rPr>
  </w:style>
  <w:style w:type="paragraph" w:customStyle="1" w:styleId="27">
    <w:name w:val="p0"/>
    <w:basedOn w:val="1"/>
    <w:qFormat/>
    <w:uiPriority w:val="0"/>
    <w:pPr>
      <w:widowControl/>
    </w:pPr>
    <w:rPr>
      <w:kern w:val="0"/>
      <w:szCs w:val="21"/>
    </w:rPr>
  </w:style>
  <w:style w:type="paragraph" w:customStyle="1" w:styleId="28">
    <w:name w:val="样式  + 首行缩进:  2 字符"/>
    <w:basedOn w:val="1"/>
    <w:qFormat/>
    <w:uiPriority w:val="0"/>
    <w:pPr>
      <w:adjustRightInd w:val="0"/>
      <w:spacing w:line="360" w:lineRule="auto"/>
      <w:ind w:firstLine="524" w:firstLineChars="200"/>
    </w:pPr>
    <w:rPr>
      <w:rFonts w:ascii="宋体" w:hAnsi="宋体"/>
      <w:spacing w:val="11"/>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页脚 字符"/>
    <w:basedOn w:val="16"/>
    <w:link w:val="11"/>
    <w:qFormat/>
    <w:uiPriority w:val="99"/>
    <w:rPr>
      <w:rFonts w:ascii="Calibri" w:hAnsi="Calibri"/>
      <w:kern w:val="2"/>
      <w:sz w:val="18"/>
      <w:szCs w:val="24"/>
    </w:rPr>
  </w:style>
  <w:style w:type="paragraph" w:styleId="31">
    <w:name w:val="List Paragraph"/>
    <w:basedOn w:val="1"/>
    <w:qFormat/>
    <w:uiPriority w:val="99"/>
    <w:pPr>
      <w:ind w:firstLine="420" w:firstLineChars="200"/>
    </w:pPr>
  </w:style>
  <w:style w:type="character" w:customStyle="1" w:styleId="32">
    <w:name w:val="纯文本 字符"/>
    <w:link w:val="8"/>
    <w:qFormat/>
    <w:uiPriority w:val="0"/>
    <w:rPr>
      <w:rFonts w:ascii="宋体" w:hAnsi="Courier New"/>
      <w:kern w:val="2"/>
      <w:sz w:val="21"/>
    </w:rPr>
  </w:style>
  <w:style w:type="character" w:customStyle="1" w:styleId="33">
    <w:name w:val="批注框文本 字符"/>
    <w:basedOn w:val="16"/>
    <w:link w:val="10"/>
    <w:qFormat/>
    <w:uiPriority w:val="0"/>
    <w:rPr>
      <w:kern w:val="2"/>
      <w:sz w:val="18"/>
      <w:szCs w:val="18"/>
    </w:rPr>
  </w:style>
  <w:style w:type="character" w:customStyle="1" w:styleId="34">
    <w:name w:val="font41"/>
    <w:qFormat/>
    <w:uiPriority w:val="0"/>
    <w:rPr>
      <w:rFonts w:hint="default" w:ascii="Tahoma" w:hAnsi="Tahoma" w:eastAsia="Tahoma" w:cs="Tahoma"/>
      <w:color w:val="000000"/>
      <w:sz w:val="22"/>
      <w:szCs w:val="22"/>
      <w:u w:val="none"/>
    </w:rPr>
  </w:style>
  <w:style w:type="character" w:customStyle="1" w:styleId="35">
    <w:name w:val="font21"/>
    <w:qFormat/>
    <w:uiPriority w:val="0"/>
    <w:rPr>
      <w:rFonts w:hint="default" w:ascii="Arial" w:hAnsi="Arial" w:cs="Arial"/>
      <w:color w:val="000000"/>
      <w:sz w:val="18"/>
      <w:szCs w:val="18"/>
      <w:u w:val="none"/>
    </w:rPr>
  </w:style>
  <w:style w:type="character" w:customStyle="1" w:styleId="36">
    <w:name w:val="font31"/>
    <w:qFormat/>
    <w:uiPriority w:val="0"/>
    <w:rPr>
      <w:rFonts w:ascii="宋体-简" w:hAnsi="宋体-简" w:eastAsia="宋体-简" w:cs="宋体-简"/>
      <w:color w:val="000000"/>
      <w:sz w:val="18"/>
      <w:szCs w:val="18"/>
      <w:u w:val="none"/>
    </w:rPr>
  </w:style>
  <w:style w:type="character" w:customStyle="1" w:styleId="37">
    <w:name w:val="日期 字符"/>
    <w:basedOn w:val="16"/>
    <w:link w:val="9"/>
    <w:qFormat/>
    <w:uiPriority w:val="0"/>
    <w:rPr>
      <w:rFonts w:ascii="Calibri" w:hAnsi="Calibri"/>
      <w:kern w:val="2"/>
      <w:sz w:val="21"/>
      <w:szCs w:val="24"/>
    </w:rPr>
  </w:style>
  <w:style w:type="character" w:customStyle="1" w:styleId="38">
    <w:name w:val="font11"/>
    <w:basedOn w:val="16"/>
    <w:qFormat/>
    <w:uiPriority w:val="0"/>
    <w:rPr>
      <w:rFonts w:hint="eastAsia" w:ascii="黑体" w:hAnsi="宋体" w:eastAsia="黑体" w:cs="黑体"/>
      <w:b/>
      <w:bCs/>
      <w:color w:val="000000"/>
      <w:sz w:val="24"/>
      <w:szCs w:val="24"/>
      <w:u w:val="none"/>
    </w:rPr>
  </w:style>
  <w:style w:type="character" w:customStyle="1" w:styleId="39">
    <w:name w:val="font71"/>
    <w:basedOn w:val="16"/>
    <w:qFormat/>
    <w:uiPriority w:val="0"/>
    <w:rPr>
      <w:rFonts w:hint="eastAsia" w:ascii="宋体" w:hAnsi="宋体" w:eastAsia="宋体" w:cs="宋体"/>
      <w:color w:val="000000"/>
      <w:sz w:val="24"/>
      <w:szCs w:val="24"/>
      <w:u w:val="none"/>
    </w:rPr>
  </w:style>
  <w:style w:type="character" w:customStyle="1" w:styleId="40">
    <w:name w:val="font51"/>
    <w:basedOn w:val="16"/>
    <w:qFormat/>
    <w:uiPriority w:val="0"/>
    <w:rPr>
      <w:rFonts w:hint="eastAsia" w:ascii="宋体" w:hAnsi="宋体" w:eastAsia="宋体" w:cs="宋体"/>
      <w:color w:val="000000"/>
      <w:sz w:val="24"/>
      <w:szCs w:val="24"/>
      <w:u w:val="none"/>
    </w:rPr>
  </w:style>
  <w:style w:type="character" w:customStyle="1" w:styleId="41">
    <w:name w:val="font81"/>
    <w:basedOn w:val="1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8964</Words>
  <Characters>9145</Characters>
  <Lines>87</Lines>
  <Paragraphs>24</Paragraphs>
  <TotalTime>22</TotalTime>
  <ScaleCrop>false</ScaleCrop>
  <LinksUpToDate>false</LinksUpToDate>
  <CharactersWithSpaces>9930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2025-03-19T10:05:00Z</dcterms:created>
  <dc:creator>YYY</dc:creator>
  <cp:lastModifiedBy>张朝东</cp:lastModifiedBy>
  <cp:lastPrinted>2024-04-11T03:12:00Z</cp:lastPrinted>
  <dcterms:modified xsi:type="dcterms:W3CDTF">2026-05-08T06:54:27Z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6C78269E7DA94AF49CD33292F48816B3_12</vt:lpwstr>
  </property>
  <property fmtid="{D5CDD505-2E9C-101B-9397-08002B2CF9AE}" pid="4" name="KSOTemplateDocerSaveRecord">
    <vt:lpwstr>eyJoZGlkIjoiZjRiZTE4MjM4YzkzNTcyMjBmNWZiYzJhNTJhNDMwMTgiLCJ1c2VySWQiOiIxNTQ2NzAyMjA4In0=</vt:lpwstr>
  </property>
</Properties>
</file>